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仿宋" w:hAnsi="仿宋" w:eastAsia="仿宋" w:cs="Times New Roman"/>
          <w:b/>
          <w:color w:val="000000"/>
          <w:w w:val="80"/>
          <w:sz w:val="72"/>
          <w:szCs w:val="72"/>
        </w:rPr>
      </w:pPr>
      <w:bookmarkStart w:id="0" w:name="_Hlk2461388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-41910</wp:posOffset>
            </wp:positionV>
            <wp:extent cx="1449070" cy="1711960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972" cy="171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jc w:val="center"/>
        <w:rPr>
          <w:rFonts w:ascii="仿宋" w:hAnsi="仿宋" w:eastAsia="仿宋" w:cs="Times New Roman"/>
          <w:b/>
          <w:color w:val="000000"/>
          <w:w w:val="80"/>
          <w:sz w:val="72"/>
          <w:szCs w:val="72"/>
        </w:rPr>
      </w:pPr>
    </w:p>
    <w:p>
      <w:pPr>
        <w:spacing w:line="276" w:lineRule="auto"/>
        <w:jc w:val="center"/>
        <w:rPr>
          <w:rFonts w:ascii="仿宋" w:hAnsi="仿宋" w:eastAsia="仿宋" w:cs="Times New Roman"/>
          <w:b/>
          <w:color w:val="000000"/>
          <w:w w:val="80"/>
          <w:sz w:val="72"/>
          <w:szCs w:val="72"/>
        </w:rPr>
      </w:pPr>
    </w:p>
    <w:p>
      <w:pPr>
        <w:spacing w:line="276" w:lineRule="auto"/>
        <w:jc w:val="center"/>
        <w:rPr>
          <w:rFonts w:ascii="仿宋" w:hAnsi="仿宋" w:eastAsia="仿宋" w:cs="Times New Roman"/>
          <w:b/>
          <w:color w:val="000000"/>
          <w:w w:val="80"/>
          <w:sz w:val="72"/>
          <w:szCs w:val="72"/>
        </w:rPr>
      </w:pPr>
    </w:p>
    <w:p>
      <w:pPr>
        <w:spacing w:line="276" w:lineRule="auto"/>
        <w:jc w:val="center"/>
        <w:rPr>
          <w:rFonts w:ascii="仿宋" w:hAnsi="仿宋" w:eastAsia="仿宋" w:cs="Times New Roman"/>
          <w:b/>
          <w:color w:val="000000"/>
          <w:w w:val="80"/>
          <w:sz w:val="64"/>
          <w:szCs w:val="64"/>
        </w:rPr>
      </w:pPr>
      <w:r>
        <w:rPr>
          <w:rFonts w:hint="eastAsia" w:ascii="仿宋" w:hAnsi="仿宋" w:eastAsia="仿宋" w:cs="Times New Roman"/>
          <w:b/>
          <w:color w:val="000000"/>
          <w:w w:val="80"/>
          <w:sz w:val="64"/>
          <w:szCs w:val="64"/>
        </w:rPr>
        <w:t>浙江东江能源科技有限公司</w:t>
      </w:r>
    </w:p>
    <w:p>
      <w:pPr>
        <w:spacing w:line="276" w:lineRule="auto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 xml:space="preserve"> </w:t>
      </w:r>
    </w:p>
    <w:p>
      <w:pPr>
        <w:spacing w:line="276" w:lineRule="auto"/>
        <w:jc w:val="center"/>
        <w:rPr>
          <w:rFonts w:cs="宋体" w:asciiTheme="majorEastAsia" w:hAnsiTheme="majorEastAsia" w:eastAsiaTheme="majorEastAsia"/>
          <w:b/>
          <w:sz w:val="52"/>
          <w:szCs w:val="52"/>
        </w:rPr>
      </w:pPr>
      <w:r>
        <w:rPr>
          <w:rFonts w:hint="eastAsia" w:cs="宋体" w:asciiTheme="majorEastAsia" w:hAnsiTheme="majorEastAsia" w:eastAsiaTheme="majorEastAsia"/>
          <w:b/>
          <w:sz w:val="52"/>
          <w:szCs w:val="52"/>
        </w:rPr>
        <w:t>社会责任报告</w:t>
      </w:r>
    </w:p>
    <w:p>
      <w:pPr>
        <w:spacing w:line="276" w:lineRule="auto"/>
        <w:ind w:firstLine="3900" w:firstLineChars="750"/>
        <w:rPr>
          <w:rFonts w:ascii="宋体" w:hAnsi="宋体" w:eastAsia="宋体" w:cs="宋体"/>
          <w:sz w:val="52"/>
          <w:szCs w:val="52"/>
        </w:rPr>
      </w:pPr>
    </w:p>
    <w:p>
      <w:pPr>
        <w:spacing w:line="276" w:lineRule="auto"/>
        <w:ind w:firstLine="3900" w:firstLineChars="750"/>
        <w:rPr>
          <w:rFonts w:ascii="宋体" w:hAnsi="宋体" w:eastAsia="宋体" w:cs="宋体"/>
          <w:sz w:val="52"/>
          <w:szCs w:val="52"/>
        </w:rPr>
      </w:pPr>
    </w:p>
    <w:p>
      <w:pPr>
        <w:spacing w:line="276" w:lineRule="auto"/>
        <w:ind w:firstLine="3900" w:firstLineChars="750"/>
        <w:rPr>
          <w:rFonts w:ascii="宋体" w:hAnsi="宋体" w:eastAsia="宋体" w:cs="宋体"/>
          <w:sz w:val="52"/>
          <w:szCs w:val="52"/>
        </w:rPr>
      </w:pPr>
    </w:p>
    <w:p>
      <w:pPr>
        <w:spacing w:line="276" w:lineRule="auto"/>
        <w:ind w:firstLine="3900" w:firstLineChars="750"/>
        <w:rPr>
          <w:rFonts w:ascii="宋体" w:hAnsi="宋体" w:eastAsia="宋体" w:cs="宋体"/>
          <w:sz w:val="52"/>
          <w:szCs w:val="52"/>
        </w:rPr>
      </w:pPr>
    </w:p>
    <w:p>
      <w:pPr>
        <w:spacing w:line="276" w:lineRule="auto"/>
        <w:ind w:firstLine="3900" w:firstLineChars="750"/>
        <w:rPr>
          <w:rFonts w:ascii="宋体" w:hAnsi="宋体" w:eastAsia="宋体" w:cs="宋体"/>
          <w:sz w:val="52"/>
          <w:szCs w:val="52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报告日期：</w:t>
      </w:r>
      <w:r>
        <w:rPr>
          <w:rFonts w:ascii="宋体" w:hAnsi="宋体" w:eastAsia="宋体" w:cs="宋体"/>
          <w:sz w:val="36"/>
          <w:szCs w:val="36"/>
        </w:rPr>
        <w:t>2022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ascii="宋体" w:hAnsi="宋体" w:eastAsia="宋体" w:cs="宋体"/>
          <w:sz w:val="36"/>
          <w:szCs w:val="36"/>
        </w:rPr>
        <w:t>6</w:t>
      </w:r>
      <w:r>
        <w:rPr>
          <w:rFonts w:hint="eastAsia" w:ascii="宋体" w:hAnsi="宋体" w:eastAsia="宋体" w:cs="宋体"/>
          <w:sz w:val="36"/>
          <w:szCs w:val="36"/>
        </w:rPr>
        <w:t>月</w:t>
      </w:r>
    </w:p>
    <w:bookmarkEnd w:id="0"/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1" w:name="_Hlk24613918"/>
    </w:p>
    <w:p>
      <w:pPr>
        <w:pStyle w:val="91"/>
        <w:ind w:firstLine="640"/>
      </w:pPr>
      <w:r>
        <w:rPr>
          <w:rFonts w:hint="eastAsia"/>
        </w:rPr>
        <w:t>关于本报告</w:t>
      </w:r>
    </w:p>
    <w:p>
      <w:pPr>
        <w:pStyle w:val="90"/>
      </w:pPr>
      <w:bookmarkStart w:id="2" w:name="_Toc493596484"/>
      <w:r>
        <w:rPr>
          <w:rFonts w:hint="eastAsia"/>
        </w:rPr>
        <w:t xml:space="preserve">1 </w:t>
      </w:r>
      <w:bookmarkEnd w:id="2"/>
      <w:r>
        <w:rPr>
          <w:rFonts w:hint="eastAsia"/>
        </w:rPr>
        <w:t>报告范围</w:t>
      </w:r>
    </w:p>
    <w:p>
      <w:pPr>
        <w:ind w:firstLine="420"/>
      </w:pPr>
      <w:r>
        <w:rPr>
          <w:rFonts w:hint="eastAsia"/>
        </w:rPr>
        <w:t>本报告以浙江东江能源科技有限公司为主体，披露了</w:t>
      </w:r>
      <w:r>
        <w:t>2021</w:t>
      </w:r>
      <w:r>
        <w:rPr>
          <w:rFonts w:hint="eastAsia"/>
        </w:rPr>
        <w:t>年企业履行政治、经济、社会和生态责任方面的内容。</w:t>
      </w:r>
    </w:p>
    <w:p>
      <w:pPr>
        <w:pStyle w:val="90"/>
      </w:pPr>
      <w:r>
        <w:rPr>
          <w:rFonts w:hint="eastAsia"/>
        </w:rPr>
        <w:t>2 称谓说明</w:t>
      </w:r>
    </w:p>
    <w:p>
      <w:pPr>
        <w:ind w:firstLine="420"/>
      </w:pPr>
      <w:r>
        <w:rPr>
          <w:rFonts w:hint="eastAsia"/>
        </w:rPr>
        <w:t>为表述方便，报告把“浙江东江能源科技有限公司”简称为“东江能源”。</w:t>
      </w:r>
    </w:p>
    <w:p>
      <w:pPr>
        <w:pStyle w:val="90"/>
      </w:pPr>
      <w:bookmarkStart w:id="3" w:name="_Toc493596487"/>
      <w:r>
        <w:rPr>
          <w:rFonts w:hint="eastAsia"/>
        </w:rPr>
        <w:t>3 报告时间</w:t>
      </w:r>
      <w:bookmarkEnd w:id="3"/>
      <w:r>
        <w:rPr>
          <w:rFonts w:hint="eastAsia"/>
        </w:rPr>
        <w:t>和频次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日至20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日，部分数据及内容超出上述范围。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本报告为年度报告。</w:t>
      </w:r>
    </w:p>
    <w:p>
      <w:pPr>
        <w:pStyle w:val="9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9359649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 报告</w:t>
      </w:r>
      <w:bookmarkEnd w:id="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发布形式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本报告以电子文档形式发布，其中电子文档可在浙江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嘉澳环保科技股份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有限公司网站（https://www.jiaaohuanbao.com/）下载阅读。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1"/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="40" w:after="40" w:line="276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pStyle w:val="51"/>
        <w:numPr>
          <w:ilvl w:val="0"/>
          <w:numId w:val="1"/>
        </w:numPr>
        <w:spacing w:before="156" w:beforeLines="50" w:after="156" w:afterLines="50" w:line="360" w:lineRule="auto"/>
        <w:ind w:firstLineChars="0"/>
        <w:outlineLvl w:val="0"/>
        <w:rPr>
          <w:rFonts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bookmarkStart w:id="5" w:name="_Toc451610984"/>
      <w:bookmarkStart w:id="6" w:name="_Toc451610891"/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浙江东江能源科技有限公司</w:t>
      </w:r>
      <w:r>
        <w:rPr>
          <w:rFonts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简介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和企业文化</w:t>
      </w:r>
    </w:p>
    <w:p>
      <w:pPr>
        <w:pStyle w:val="51"/>
        <w:spacing w:before="156" w:beforeLines="50" w:after="156" w:afterLines="50" w:line="360" w:lineRule="auto"/>
        <w:ind w:firstLine="0" w:firstLineChars="0"/>
        <w:outlineLvl w:val="0"/>
        <w:rPr>
          <w:rFonts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1.公司简介</w:t>
      </w:r>
    </w:p>
    <w:p>
      <w:pPr>
        <w:pStyle w:val="19"/>
        <w:spacing w:line="360" w:lineRule="auto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bCs/>
          <w:szCs w:val="24"/>
        </w:rPr>
        <w:t>浙江东江能源科技有限公司（以下简称</w:t>
      </w:r>
      <w:r>
        <w:rPr>
          <w:rFonts w:hint="eastAsia" w:ascii="宋体" w:hAnsi="宋体"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/>
          <w:bCs/>
          <w:szCs w:val="24"/>
        </w:rPr>
        <w:t>”东江能源“或”公司“）成立于2006年3月21日，</w:t>
      </w:r>
      <w:r>
        <w:rPr>
          <w:rFonts w:hint="eastAsia" w:ascii="宋体" w:hAnsi="宋体"/>
          <w:sz w:val="24"/>
        </w:rPr>
        <w:t>2017年1月成为上交所A股主板上市公司浙江嘉澳环保科技股份有限公司100%控股的全资子公司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19"/>
        <w:spacing w:line="360" w:lineRule="auto"/>
        <w:jc w:val="left"/>
        <w:rPr>
          <w:rFonts w:ascii="宋体" w:hAnsi="宋体"/>
          <w:bCs/>
          <w:szCs w:val="24"/>
        </w:rPr>
      </w:pPr>
      <w:r>
        <w:rPr>
          <w:rFonts w:hint="eastAsia" w:ascii="宋体" w:hAnsi="宋体"/>
          <w:sz w:val="24"/>
        </w:rPr>
        <w:t>公司位于浙江省北部杭嘉湖平原腹地，东距上海131公里，北离苏州74公里，西邻杭州65公里，居沪、杭、苏金三角之腹地，具有地势平坦、河网密布、地理位置优越、交通便捷等诸多优势</w:t>
      </w:r>
      <w:r>
        <w:rPr>
          <w:rFonts w:hint="eastAsia" w:ascii="宋体" w:hAnsi="宋体"/>
          <w:bCs/>
          <w:szCs w:val="24"/>
        </w:rPr>
        <w:t>。</w:t>
      </w:r>
    </w:p>
    <w:p>
      <w:pPr>
        <w:pStyle w:val="19"/>
        <w:spacing w:line="360" w:lineRule="auto"/>
        <w:jc w:val="left"/>
        <w:rPr>
          <w:rFonts w:ascii="宋体" w:hAnsi="宋体"/>
          <w:bCs/>
          <w:szCs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作为长三角地区最具规模和影响力的生物柴油生产企业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bCs/>
          <w:szCs w:val="24"/>
        </w:rPr>
        <w:t>面对全球气候变化和环境污染之严峻挑战，东江能源秉承“环保创新”的核心发展理念，以其先进的管理理念和系统的管理体系为支点，</w:t>
      </w:r>
      <w:r>
        <w:rPr>
          <w:rFonts w:hint="eastAsia" w:ascii="宋体" w:hAnsi="宋体"/>
          <w:sz w:val="24"/>
        </w:rPr>
        <w:t>东江能源致力于各类废弃油脂资源的综合利用、可再生、可循环经济的研究发展与技术革新，着重研究开发代表国际最具先进水平的生物质新能源前沿新技术、新产品</w:t>
      </w:r>
      <w:r>
        <w:rPr>
          <w:rFonts w:hint="eastAsia" w:ascii="宋体" w:hAnsi="宋体"/>
          <w:bCs/>
          <w:szCs w:val="24"/>
        </w:rPr>
        <w:t>，尽快缩短中国生物质新能源与国际生物质新能源市场差距，积极推进生物柴油在中国国内的示范添加和使用，制定和完善生物柴油国内相关的标准和规范，积极助力中国实现“碳中和”</w:t>
      </w:r>
      <w:r>
        <w:rPr>
          <w:rFonts w:hint="eastAsia" w:ascii="宋体" w:hAnsi="宋体"/>
          <w:bCs/>
          <w:szCs w:val="24"/>
          <w:lang w:eastAsia="zh-CN"/>
        </w:rPr>
        <w:t>，</w:t>
      </w:r>
      <w:r>
        <w:rPr>
          <w:rFonts w:hint="eastAsia" w:ascii="宋体" w:hAnsi="宋体"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目前已成为</w:t>
      </w: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长三角地区最具规模和影响力的生物柴油生产企业</w:t>
      </w:r>
      <w:r>
        <w:rPr>
          <w:rFonts w:hint="eastAsia" w:ascii="宋体" w:hAnsi="宋体"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国内生物柴油行业最具规模和影</w:t>
      </w:r>
      <w:r>
        <w:rPr>
          <w:rFonts w:hint="eastAsia" w:ascii="宋体" w:hAnsi="宋体"/>
          <w:bCs/>
          <w:szCs w:val="24"/>
        </w:rPr>
        <w:t>响力的企业之一。</w:t>
      </w:r>
    </w:p>
    <w:p>
      <w:pPr>
        <w:pStyle w:val="19"/>
        <w:spacing w:line="360" w:lineRule="auto"/>
        <w:jc w:val="left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公司主要以废弃油脂和（或）废弃油脂加工处理成的非食用精炼油脂（也称为工业级混合油）等为原材料，通过先进强大的研发技术及一流设备，在尽责忠诚的团队共同努力下，变废为宝，循环利用，生产出纯度高、优质环保的生物柴油及其油脂化工产品，目前可达到年产生物柴油及其油脂化工产品15万吨生产能力，可消耗废弃油脂约20万吨。</w:t>
      </w:r>
    </w:p>
    <w:p>
      <w:pPr>
        <w:pStyle w:val="19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公司生产的主</w:t>
      </w:r>
      <w:r>
        <w:rPr>
          <w:rFonts w:hint="eastAsia" w:ascii="宋体" w:hAnsi="宋体"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产品一生物柴油，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以外销为主</w:t>
      </w: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目前主要出口至新加坡、荷兰、瑞士、西班牙、德国等国家，主要客户有Shell（荷兰 欧洲）、 LITASCO S.A（瑞士 欧洲）、REPSOL（西班牙 欧洲）等，此外，</w:t>
      </w:r>
      <w:r>
        <w:rPr>
          <w:rFonts w:hint="eastAsia" w:ascii="宋体" w:hAnsi="宋体"/>
          <w:sz w:val="24"/>
        </w:rPr>
        <w:t>生物柴油作为母公司环保增塑剂的原料，实现从地沟油收集、处置及产品使用的全产业链闭环。</w:t>
      </w:r>
      <w:r>
        <w:rPr>
          <w:rFonts w:hint="eastAsia" w:ascii="宋体" w:hAnsi="宋体"/>
          <w:sz w:val="24"/>
          <w:lang w:eastAsia="zh-CN"/>
        </w:rPr>
        <w:t>与此同时，由于公司生产的</w:t>
      </w:r>
      <w:r>
        <w:rPr>
          <w:rFonts w:hint="eastAsia" w:ascii="宋体" w:hAnsi="宋体"/>
          <w:sz w:val="24"/>
        </w:rPr>
        <w:t>生物柴油储藏和运输安全，且可循环利用，</w:t>
      </w:r>
      <w:r>
        <w:rPr>
          <w:rFonts w:hint="eastAsia" w:ascii="宋体" w:hAnsi="宋体"/>
          <w:sz w:val="24"/>
          <w:lang w:eastAsia="zh-CN"/>
        </w:rPr>
        <w:t>加上</w:t>
      </w:r>
      <w:r>
        <w:rPr>
          <w:rFonts w:hint="eastAsia" w:ascii="宋体" w:hAnsi="宋体"/>
          <w:sz w:val="24"/>
        </w:rPr>
        <w:t>欧洲国家</w:t>
      </w:r>
      <w:r>
        <w:rPr>
          <w:rFonts w:hint="eastAsia" w:ascii="宋体" w:hAnsi="宋体"/>
          <w:sz w:val="24"/>
          <w:lang w:eastAsia="zh-CN"/>
        </w:rPr>
        <w:t>对生物柴油添加比例的增加，预计</w:t>
      </w:r>
      <w:r>
        <w:rPr>
          <w:rFonts w:hint="eastAsia" w:ascii="宋体" w:hAnsi="宋体"/>
          <w:sz w:val="24"/>
        </w:rPr>
        <w:t>到2030年</w:t>
      </w:r>
      <w:r>
        <w:rPr>
          <w:rFonts w:hint="eastAsia" w:ascii="宋体" w:hAnsi="宋体"/>
          <w:sz w:val="24"/>
          <w:lang w:eastAsia="zh-CN"/>
        </w:rPr>
        <w:t>生物</w:t>
      </w:r>
      <w:r>
        <w:rPr>
          <w:rFonts w:hint="eastAsia" w:ascii="宋体" w:hAnsi="宋体"/>
          <w:sz w:val="24"/>
        </w:rPr>
        <w:t>添加比例拟提高到26%，具有良好的</w:t>
      </w:r>
      <w:r>
        <w:rPr>
          <w:rFonts w:hint="eastAsia" w:ascii="宋体" w:hAnsi="宋体"/>
          <w:sz w:val="24"/>
          <w:lang w:eastAsia="zh-CN"/>
        </w:rPr>
        <w:t>行业</w:t>
      </w:r>
      <w:r>
        <w:rPr>
          <w:rFonts w:hint="eastAsia" w:ascii="宋体" w:hAnsi="宋体"/>
          <w:sz w:val="24"/>
        </w:rPr>
        <w:t>发展前景。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目前，公司已和众多城市餐厨垃圾厂、上海废管处建立了广泛的合作关系。通过与各地餐厨垃圾厂、上海废管处的密切协作，在运输方面依托兄弟单位宏能物流货运保障团队，实现了产销一条龙，切实有效杜绝了地沟油回流餐桌的问题，为保障百姓的安全餐桌保驾护航，为日趋枯竭的社会能源添砖加瓦，为国家环境保护、食品安全管理作出了实效的贡献。与此同时，公司作为上市公司--嘉澳环保旗下全资子公司，全面实现了与集团资源共享、技术支撑、人才互补，大大提升了公司的综合实力及对外核心竞争力。目前公司已获得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项专利，其技术中心被授予“嘉兴企业技术中心”之殊誉。公司也被授予为浙江省科技型中小企业，先后荣获“桐乡市大企业培养工程奖”、“桐乡市亩产效益十强奖”、“桐乡市亩产税收十强工业企业”等诸多殊誉。</w:t>
      </w:r>
    </w:p>
    <w:p>
      <w:pPr>
        <w:spacing w:line="400" w:lineRule="exact"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2.企业文化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2" w:name="_GoBack"/>
      <w:bookmarkStart w:id="7" w:name="_Hlk24613985"/>
      <w:bookmarkStart w:id="8" w:name="_Hlk24922071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公司领导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层树立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顾客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为导向的科学发展观，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组织和个人的学习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与成长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尊重供应商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和合作伙伴，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聚焦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未来发展和社会责任，经过近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摸索与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实践，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以集团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公司企业文化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为基础，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国家发展规划、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行业特点、内外部环境变化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及集团文化要求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等实际情况，不断创新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与整合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，明确了公司使命、愿景、核心价值观等。</w:t>
      </w:r>
    </w:p>
    <w:p>
      <w:pPr>
        <w:spacing w:line="480" w:lineRule="auto"/>
        <w:ind w:firstLine="482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9" w:name="_Hlk111818687"/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使命：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专注于废弃资源综合利用、生物质能源业务，建设可持续性发展、节能减排的环保型企业。</w:t>
      </w:r>
    </w:p>
    <w:p>
      <w:pPr>
        <w:spacing w:line="480" w:lineRule="auto"/>
        <w:ind w:firstLine="482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愿景：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做精主业，追求卓越，打造具有国际竞争力的生物质能源一流生产企业。</w:t>
      </w:r>
    </w:p>
    <w:p>
      <w:pPr>
        <w:spacing w:line="48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价值观：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诚信、务实、创新、和谐。</w:t>
      </w:r>
    </w:p>
    <w:bookmarkEnd w:id="7"/>
    <w:bookmarkEnd w:id="8"/>
    <w:bookmarkEnd w:id="9"/>
    <w:p>
      <w:pPr>
        <w:spacing w:before="156" w:beforeLines="50" w:after="156" w:afterLines="50" w:line="360" w:lineRule="auto"/>
        <w:outlineLvl w:val="0"/>
        <w:rPr>
          <w:rFonts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组织架构</w:t>
      </w: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主要产品</w:t>
      </w:r>
    </w:p>
    <w:p>
      <w:pPr>
        <w:spacing w:before="156" w:beforeLines="50" w:after="156" w:afterLines="50" w:line="360" w:lineRule="auto"/>
        <w:outlineLvl w:val="0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、组织</w:t>
      </w:r>
      <w:r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架构图</w:t>
      </w:r>
    </w:p>
    <w:p>
      <w:pPr>
        <w:pStyle w:val="47"/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549900" cy="2494915"/>
            <wp:effectExtent l="0" t="0" r="1270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outlineLvl w:val="0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主要产品</w:t>
      </w:r>
    </w:p>
    <w:p>
      <w:pPr>
        <w:pStyle w:val="19"/>
        <w:spacing w:line="360" w:lineRule="auto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公司生产的主</w:t>
      </w:r>
      <w:r>
        <w:rPr>
          <w:rFonts w:hint="eastAsia" w:ascii="宋体" w:hAnsi="宋体"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产品一生物柴油，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是一种集无害、安全、环保、节能等诸多优点于一身的新型绿色能源产品，该产品填补了其他一次性能源不可再生性的空白。公司生产的生物柴油具有硫含量低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燃烧更充分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颗粒物（黑烟）、二氧化硫和硫化物的排放量可降低约30%的优点，其燃烧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所产生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尾气对人体的损害远低于石化柴油，且不含对环境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造成污染的芳香族化合物，具有良好的生物降解特性，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目前公司生产生物柴油的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排放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排放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尾气指标可达到欧洲Ⅱ号和Ⅲ号排放标准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；与此同时，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由于公司生产的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生物柴油储藏和运输安全，且可循环利用，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加上公司生产的生物柴油是国内唯一符合欧盟生物柴油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EN14214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欧盟生物柴油标准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）标准的企业。随着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欧洲国家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对生物柴油添加比例的逐年增加，预计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到2030年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生物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添加比例拟提高到26%，具有良好的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发</w:t>
      </w:r>
    </w:p>
    <w:p>
      <w:pPr>
        <w:pStyle w:val="19"/>
        <w:spacing w:line="360" w:lineRule="auto"/>
        <w:ind w:left="0" w:leftChars="0" w:firstLine="0" w:firstLineChars="0"/>
        <w:jc w:val="left"/>
        <w:rPr>
          <w:rFonts w:hint="eastAsia"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展前景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5"/>
    <w:bookmarkEnd w:id="6"/>
    <w:p>
      <w:pPr>
        <w:numPr>
          <w:ilvl w:val="0"/>
          <w:numId w:val="0"/>
        </w:numPr>
        <w:spacing w:before="156" w:beforeLines="50" w:after="156" w:afterLines="50"/>
        <w:ind w:leftChars="0"/>
        <w:outlineLvl w:val="0"/>
        <w:rPr>
          <w:rFonts w:ascii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51455" cy="3092450"/>
            <wp:effectExtent l="0" t="0" r="1079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outlineLvl w:val="0"/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三、经济责任</w:t>
      </w:r>
    </w:p>
    <w:p>
      <w:pPr>
        <w:spacing w:before="156" w:beforeLines="50" w:after="156" w:afterLines="50"/>
        <w:outlineLvl w:val="1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0" w:name="_Toc451610985"/>
      <w:bookmarkStart w:id="11" w:name="_Toc451610892"/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（一）战略方向</w:t>
      </w:r>
      <w:bookmarkEnd w:id="10"/>
      <w:bookmarkEnd w:id="11"/>
    </w:p>
    <w:p>
      <w:pPr>
        <w:pStyle w:val="51"/>
        <w:spacing w:line="360" w:lineRule="auto"/>
        <w:ind w:left="482" w:firstLine="0" w:firstLineChars="0"/>
        <w:rPr>
          <w:rFonts w:asciiTheme="majorEastAsia" w:hAnsiTheme="majorEastAsia" w:eastAsiaTheme="majorEastAsia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长、中、短期主要战略目标</w:t>
      </w:r>
    </w:p>
    <w:p>
      <w:pPr>
        <w:snapToGrid w:val="0"/>
        <w:spacing w:after="0" w:line="360" w:lineRule="auto"/>
        <w:ind w:left="0" w:firstLine="480" w:firstLineChars="200"/>
        <w:jc w:val="both"/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公司将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“成为国内规模最大、品种最齐全、技术最领先的生物质能源领军企业 ”的企业愿景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作为公司的长期战略目标。</w:t>
      </w:r>
    </w:p>
    <w:p>
      <w:pPr>
        <w:snapToGrid w:val="0"/>
        <w:spacing w:after="0" w:line="360" w:lineRule="auto"/>
        <w:ind w:left="0" w:firstLine="480" w:firstLineChars="200"/>
        <w:jc w:val="both"/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与此同时，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公司积极研判国内外市场环境及行业发展趋势，明确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公司中期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战略定位，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公司制订了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5年战略规划（2021-2025），明确了5年的战略经营目标，通过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扩大生产规模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强化技术创新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提升内部管理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产品升级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迭代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从而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核心竞争力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after="0" w:line="360" w:lineRule="auto"/>
        <w:ind w:left="0" w:firstLine="480" w:firstLineChars="200"/>
        <w:jc w:val="both"/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为确保中期战略目标的有效落地，公司以集团股权激励目标为指引，明确公司年度经营目标，并通过质量目标分解、安全环保目标方案等措施，确保公司年度目标的实现。</w:t>
      </w:r>
    </w:p>
    <w:p>
      <w:pPr>
        <w:pStyle w:val="51"/>
        <w:spacing w:line="360" w:lineRule="auto"/>
        <w:ind w:left="0" w:leftChars="0" w:firstLine="0"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战略发展方向及目标</w:t>
      </w:r>
    </w:p>
    <w:p>
      <w:pPr>
        <w:numPr>
          <w:ilvl w:val="0"/>
          <w:numId w:val="0"/>
        </w:numPr>
        <w:snapToGrid w:val="0"/>
        <w:spacing w:after="0" w:line="360" w:lineRule="auto"/>
        <w:jc w:val="both"/>
        <w:rPr>
          <w:rFonts w:hint="eastAsia" w:ascii="宋体" w:hAnsi="宋体" w:eastAsia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bookmarkStart w:id="12" w:name="_Toc451610893"/>
      <w:bookmarkStart w:id="13" w:name="_Toc451610986"/>
      <w:r>
        <w:rPr>
          <w:rFonts w:hint="eastAsia" w:ascii="宋体" w:hAnsi="宋体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产能扩大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：依托集团生物质能源的布局，有计划扩大产能，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与集团内兄弟单位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实现产能国内领先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的总体规划与布局。</w:t>
      </w:r>
    </w:p>
    <w:p>
      <w:pPr>
        <w:pStyle w:val="51"/>
        <w:spacing w:after="0" w:line="360" w:lineRule="auto"/>
        <w:ind w:left="0" w:firstLine="0" w:firstLineChars="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2、行标建设战略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：2023年前实现浙江制造团标的申报与认证，成为行业标准的引领者。</w:t>
      </w:r>
    </w:p>
    <w:p>
      <w:pPr>
        <w:pStyle w:val="51"/>
        <w:spacing w:after="0" w:line="360" w:lineRule="auto"/>
        <w:ind w:left="0" w:firstLine="0" w:firstLineChars="0"/>
        <w:rPr>
          <w:rFonts w:hint="eastAsia" w:ascii="宋体" w:hAnsi="宋体" w:eastAsia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3、技术优化及突破战略：</w:t>
      </w:r>
      <w:r>
        <w:rPr>
          <w:rFonts w:hint="eastAsia" w:ascii="宋体" w:hAnsi="宋体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与集团技术团队一起，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二代生物柴油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国内生物质航空煤油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核心技术的研究和突破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1"/>
        <w:spacing w:after="0" w:line="360" w:lineRule="auto"/>
        <w:ind w:left="0" w:firstLine="0" w:firstLineChars="0"/>
        <w:rPr>
          <w:rFonts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4、品质差异战略</w:t>
      </w:r>
    </w:p>
    <w:p>
      <w:pPr>
        <w:pStyle w:val="51"/>
        <w:spacing w:after="0" w:line="360" w:lineRule="auto"/>
        <w:ind w:left="0" w:firstLine="240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（1）产品指标达到行业标准、欧盟标准及不同客户要求个性指标标准。</w:t>
      </w:r>
    </w:p>
    <w:p>
      <w:pPr>
        <w:pStyle w:val="51"/>
        <w:spacing w:after="0" w:line="360" w:lineRule="auto"/>
        <w:ind w:left="0" w:firstLine="240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（2）随着客户群体的变化，客户的品质要求及指标也会发生相应的变化。</w:t>
      </w:r>
    </w:p>
    <w:p>
      <w:pPr>
        <w:pStyle w:val="51"/>
        <w:spacing w:after="0" w:line="360" w:lineRule="auto"/>
        <w:ind w:left="0" w:leftChars="0" w:firstLine="0" w:firstLineChars="0"/>
        <w:rPr>
          <w:rFonts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5、人才储备战略</w:t>
      </w:r>
    </w:p>
    <w:p>
      <w:pPr>
        <w:pStyle w:val="51"/>
        <w:spacing w:after="0" w:line="360" w:lineRule="auto"/>
        <w:ind w:left="0" w:firstLine="241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（1）人才储备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随着公司高速发展，结合产业多元化布局，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以总部人才梯队为依托，实现公司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人才梯队建设，储备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必要及充足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的技术、研发、管理、营销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人员，支持公司的战略目标的实现。</w:t>
      </w:r>
    </w:p>
    <w:p>
      <w:pPr>
        <w:pStyle w:val="51"/>
        <w:spacing w:after="0" w:line="360" w:lineRule="auto"/>
        <w:ind w:left="0" w:firstLine="241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（2）人才梯队建设：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随着集团对生物柴油产能扩大、升级换代及开疆扩土的布局及落实，则不同层级的核心人才会产生不同的需求，故人才梯队的提前轮岗、技能多样化、人才的横向、纵向异动也需要提前储备，以便需求时及时抽调（专职或兼职）或借调。</w:t>
      </w:r>
    </w:p>
    <w:p>
      <w:pPr>
        <w:pStyle w:val="51"/>
        <w:spacing w:after="0" w:line="360" w:lineRule="auto"/>
        <w:ind w:left="0" w:firstLine="0" w:firstLineChars="0"/>
        <w:rPr>
          <w:rFonts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6、管理提升战略</w:t>
      </w:r>
    </w:p>
    <w:p>
      <w:pPr>
        <w:spacing w:after="0" w:line="360" w:lineRule="auto"/>
        <w:ind w:firstLine="240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 健全优化公司组织构架，明确部门职责及岗位责任，实现定岗、定职、定薪；</w:t>
      </w:r>
    </w:p>
    <w:p>
      <w:pPr>
        <w:spacing w:after="0" w:line="360" w:lineRule="auto"/>
        <w:ind w:firstLine="240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 实现管理系统化、制度化及标准化，通过品质、职业健康安全、环境三体系认证；</w:t>
      </w:r>
    </w:p>
    <w:p>
      <w:pPr>
        <w:spacing w:after="0" w:line="360" w:lineRule="auto"/>
        <w:ind w:firstLine="240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（3）提升公司安全管理标准化建设和码头管理标准化建设。</w:t>
      </w:r>
    </w:p>
    <w:p>
      <w:pPr>
        <w:spacing w:after="0" w:line="360" w:lineRule="auto"/>
        <w:ind w:firstLine="240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（4）打造企业文化，增强企业凝聚力、归属感及责任感。</w:t>
      </w:r>
    </w:p>
    <w:p>
      <w:pPr>
        <w:spacing w:after="0" w:line="360" w:lineRule="auto"/>
        <w:ind w:left="0" w:firstLine="0"/>
        <w:rPr>
          <w:rFonts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7、资源共享战略</w:t>
      </w:r>
    </w:p>
    <w:p>
      <w:pPr>
        <w:pStyle w:val="51"/>
        <w:spacing w:after="0" w:line="360" w:lineRule="auto"/>
        <w:ind w:left="0" w:firstLine="241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（1）与高校、外部结构资源共享：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与高校及科研机构展开充分的、多形式的技术合作，目前与公司合作的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科研合作机构主要有英国考文垂大学、荷兰壳牌石油、中化巴西生物质新能源研究院、中科院大连化物所、清华大学、浙江大学、浙江工业大学等国内外知名高校及科研院所，为公司技术创新奠定了坚实的人才基础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1"/>
        <w:spacing w:after="0" w:line="360" w:lineRule="auto"/>
        <w:ind w:left="0" w:firstLine="241" w:firstLineChars="1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（2）与集团总部及兄弟单位的资源共享：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包括技术研发、销售、运输、资金、人员、资源等协同与共享等。</w:t>
      </w:r>
    </w:p>
    <w:p>
      <w:pPr>
        <w:spacing w:before="156" w:beforeLines="50" w:after="156" w:afterLines="50" w:line="360" w:lineRule="auto"/>
        <w:outlineLvl w:val="1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（二）市场业绩</w:t>
      </w:r>
      <w:bookmarkEnd w:id="12"/>
      <w:bookmarkEnd w:id="13"/>
    </w:p>
    <w:p>
      <w:pPr>
        <w:tabs>
          <w:tab w:val="left" w:pos="142"/>
        </w:tabs>
        <w:spacing w:before="156" w:beforeLines="50" w:after="156" w:afterLines="50" w:line="360" w:lineRule="auto"/>
        <w:ind w:firstLine="482" w:firstLineChars="200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）市场地位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目前，在生物柴油领域，从产能与规模上，公司已位列浙江省第一，全国前三，已跨入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生物柴油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的第一梯队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（前三）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为国内唯一一家通过欧盟生物柴油标准认证的企业。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集团管理层与公司高层高瞻远瞩，在集团内布局生产柴油产业链，加大生物柴油生产区域的布局，以东江能源为依托，通过产能扩大、产品升级迭代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，打造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生物柴油中心与集群，提升行业的影响力和知名度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为实现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“成为国内规模最大、品种最齐全、技术最领先的生物质能源领军企业 ”的企业愿景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不懈努力与持续改善。</w:t>
      </w:r>
    </w:p>
    <w:p>
      <w:pPr>
        <w:tabs>
          <w:tab w:val="left" w:pos="142"/>
        </w:tabs>
        <w:spacing w:before="156" w:beforeLines="50" w:after="156" w:afterLines="50"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2）业务增长和新增市场</w:t>
      </w:r>
    </w:p>
    <w:p>
      <w:pPr>
        <w:spacing w:after="0" w:line="360" w:lineRule="auto"/>
        <w:ind w:left="0" w:firstLine="480" w:firstLineChars="200"/>
        <w:jc w:val="both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在生产战略方面，通过与兄弟单位的区位链接，实现产能扩大及有序调整，在业务能力，有望快速实现产生增长国内领先。</w:t>
      </w:r>
    </w:p>
    <w:p>
      <w:pPr>
        <w:spacing w:after="0" w:line="360" w:lineRule="auto"/>
        <w:ind w:left="0" w:firstLine="480" w:firstLineChars="200"/>
        <w:jc w:val="both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公司在产品销售方面，根据国际与国内市场需求的差异变化，实现内、外销“双轨道”有序切换。</w:t>
      </w:r>
    </w:p>
    <w:p>
      <w:pPr>
        <w:spacing w:after="0" w:line="360" w:lineRule="auto"/>
        <w:ind w:left="0" w:firstLine="480" w:firstLineChars="200"/>
        <w:jc w:val="both"/>
        <w:rPr>
          <w:rFonts w:hint="eastAsia" w:ascii="宋体" w:hAnsi="宋体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随着国际形势的风云变化，公司在外销为主的销售模式下，及时瞄准国内生物柴油行业的发展契机。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12月，中央经济工作会议把做好碳达峰、碳中和工作列为八项重点任务之一。而降低二氧化碳排放的主要方式是通过植树造林、节能减排等形式，以抵消自身产生的二氧化碳排放量，实现二氧化碳“零排放”，而公司生产的生物柴油具有减排的优点，为国家“碳达峰、碳中和”目标高度契合，与此同时，公司具有进一步扩大产能的实力和意愿，具有提升安全环保的决心与信心，且具有强大的技术支持与二代生产柴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、国际航煤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的布局与规划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。国内市场的快速发展，为公司提供良好市场增长点。</w:t>
      </w:r>
    </w:p>
    <w:p>
      <w:pPr>
        <w:spacing w:line="360" w:lineRule="auto"/>
        <w:ind w:firstLine="600" w:firstLineChars="25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276" w:lineRule="auto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管理责任：</w:t>
      </w:r>
    </w:p>
    <w:p>
      <w:pPr>
        <w:spacing w:before="156" w:beforeLines="50" w:after="156" w:afterLines="50" w:line="276" w:lineRule="auto"/>
        <w:ind w:firstLine="426" w:firstLineChars="177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1、管理层的</w:t>
      </w:r>
      <w:r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经营责任</w:t>
      </w:r>
    </w:p>
    <w:p>
      <w:pPr>
        <w:snapToGrid w:val="0"/>
        <w:spacing w:after="0" w:line="360" w:lineRule="auto"/>
        <w:ind w:left="0" w:firstLine="480" w:firstLineChars="200"/>
        <w:jc w:val="both"/>
        <w:rPr>
          <w:rFonts w:hint="eastAsia" w:ascii="宋体" w:hAnsi="宋体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bookmarkStart w:id="14" w:name="_Toc230143126"/>
      <w:bookmarkStart w:id="15" w:name="_Toc211149629"/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公司以集团股权激励目标为指引，明确公司年度经营目标，并通过质量目标分解、安全环保目标方案等措施，确保公司年度目标的实现。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公司管理层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年终通过述职的方式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对经营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管理层年度绩效评估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公司管理层将股权责任目标通过月度考核、提成激励、生产激励等方式确保经营目标的实现，通过安全责任制及安全、环保体系的考核及评估确保公司安全、环保目标的实现。</w:t>
      </w:r>
    </w:p>
    <w:p>
      <w:pPr>
        <w:spacing w:before="156" w:beforeLines="50" w:after="156" w:afterLines="50" w:line="276" w:lineRule="auto"/>
        <w:ind w:firstLine="426" w:firstLineChars="177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财务方面的责任</w:t>
      </w:r>
      <w:bookmarkEnd w:id="14"/>
      <w:bookmarkEnd w:id="15"/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6" w:name="_Toc211149630"/>
      <w:bookmarkStart w:id="17" w:name="_Toc230143127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司依据国家会计准则以及相关法律法规要求，建立健全了包括资产管理、资金管理、技术开发费用管理、成本核算规范、财务报告管理规范等规章制度。公司按照董事会要求进行财务预算和决算，建立了全面的财务报表体系，按月编制和上报各类财务会计报表。对公司重大投资决策和经营活动进行财务分析，规避公司经营风险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公司相关财务管理制度，公司完善内控制度，强化内部制约制度，所有业务均须由经办人注明事由，部门负责人审核和公司领导审批，以确认其真实性和合法性，财务部严格把关。公司各类费用支出严格按规定权限进行审批。对重大项目建设资金支出，按项目实施计划和工程进度，由项目执行负责人审核，分管领导签署确认意见，财务部门严格把关。</w:t>
      </w:r>
    </w:p>
    <w:bookmarkEnd w:id="16"/>
    <w:bookmarkEnd w:id="17"/>
    <w:p>
      <w:pPr>
        <w:spacing w:before="156" w:beforeLines="50" w:after="156" w:afterLines="50" w:line="276" w:lineRule="auto"/>
        <w:ind w:firstLine="426" w:firstLineChars="177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3、运营的透明性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注重经营信息的透明和共享，人事任免、质量问题、先进方法、员工奖励等也会定期在宣传栏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、书面文件进行公示或下发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，广泛听取员工意见建议。</w:t>
      </w:r>
    </w:p>
    <w:p>
      <w:pPr>
        <w:spacing w:before="156" w:beforeLines="50" w:after="156" w:afterLines="50" w:line="276" w:lineRule="auto"/>
        <w:ind w:firstLine="426" w:firstLineChars="177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</w:t>
      </w:r>
      <w:r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审计的独立性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司聘请会计师事务所进行外部审计并出具审计报告，以保证公司的会计报表符合国家的《企业会计准则》和《企业会计制度》，公正地反映公司的财务状况，经营成果和现金流量。事务所具备担任审计机构的任职条件，具有相关专业的履职能力，与公司没有关联利益关系，确保了外部审计的独立性。</w:t>
      </w:r>
    </w:p>
    <w:p>
      <w:pPr>
        <w:spacing w:before="156" w:beforeLines="50" w:after="156" w:afterLines="50" w:line="276" w:lineRule="auto"/>
        <w:ind w:firstLine="426" w:firstLineChars="177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8" w:name="_Toc211149631"/>
      <w:bookmarkStart w:id="19" w:name="_Toc230143129"/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</w:t>
      </w:r>
      <w:r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利益的保护</w:t>
      </w:r>
      <w:bookmarkEnd w:id="18"/>
      <w:bookmarkEnd w:id="19"/>
    </w:p>
    <w:p>
      <w:pPr>
        <w:adjustRightInd w:val="0"/>
        <w:spacing w:line="360" w:lineRule="auto"/>
        <w:ind w:firstLine="42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公司一贯坚持互利共赢的经营理念，并通过各种方式实现对顾客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、供应商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等方面利益的负责，具体见表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5-1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79"/>
        <w:spacing w:before="120"/>
        <w:jc w:val="center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Ref326703132"/>
    </w:p>
    <w:p>
      <w:pPr>
        <w:pStyle w:val="79"/>
        <w:spacing w:before="120"/>
        <w:jc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表5-</w:t>
      </w:r>
      <w:bookmarkEnd w:id="20"/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各相关方利益保护措施</w:t>
      </w:r>
    </w:p>
    <w:tbl>
      <w:tblPr>
        <w:tblStyle w:val="38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20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620" w:type="dxa"/>
            <w:shd w:val="clear" w:color="auto" w:fill="A8D08D" w:themeFill="accent6" w:themeFillTint="99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Courier New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主要相关方</w:t>
            </w:r>
          </w:p>
        </w:tc>
        <w:tc>
          <w:tcPr>
            <w:tcW w:w="5420" w:type="dxa"/>
            <w:shd w:val="clear" w:color="auto" w:fill="A8D08D" w:themeFill="accent6" w:themeFillTint="99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Courier New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具体措施</w:t>
            </w:r>
          </w:p>
        </w:tc>
        <w:tc>
          <w:tcPr>
            <w:tcW w:w="2009" w:type="dxa"/>
            <w:shd w:val="clear" w:color="auto" w:fill="A8D08D" w:themeFill="accent6" w:themeFillTint="99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Courier New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测量指标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顾客</w:t>
            </w:r>
          </w:p>
        </w:tc>
        <w:tc>
          <w:tcPr>
            <w:tcW w:w="5420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宋体" w:hAnsi="宋体" w:cs="Courier New" w:eastAsiaTheme="minor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1、明确顾客需要，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满足顾客的需求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。2、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通过长期合同签署等来确保顾客的利益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、加强对客户的服务职能，提高顾客满意度。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4、保持与客户的及时沟通与确认，确保客户的利益。</w:t>
            </w:r>
          </w:p>
        </w:tc>
        <w:tc>
          <w:tcPr>
            <w:tcW w:w="2009" w:type="dxa"/>
            <w:vAlign w:val="center"/>
          </w:tcPr>
          <w:p>
            <w:pPr>
              <w:spacing w:line="276" w:lineRule="auto"/>
              <w:rPr>
                <w:rFonts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顾客满意度等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政府及社会公众</w:t>
            </w:r>
          </w:p>
        </w:tc>
        <w:tc>
          <w:tcPr>
            <w:tcW w:w="5420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宋体" w:hAnsi="宋体" w:cs="Courier New" w:eastAsiaTheme="minor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1、依法纳税。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、推行“清洁生产”、“节能减排”、“绿色制造”等。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3、按照政府要求，履行防疫职责。4、根据政府要求，落实反诈主体及相关措施。</w:t>
            </w:r>
          </w:p>
        </w:tc>
        <w:tc>
          <w:tcPr>
            <w:tcW w:w="2009" w:type="dxa"/>
            <w:vAlign w:val="center"/>
          </w:tcPr>
          <w:p>
            <w:pPr>
              <w:spacing w:line="276" w:lineRule="auto"/>
              <w:rPr>
                <w:rFonts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上缴税收额等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5420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宋体" w:hAnsi="宋体" w:cs="Courier New" w:eastAsiaTheme="minor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根据市场原材料价格的波动情况，及时调整采购价格，确保供应商利益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。2、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对于外地供应商，公司相关部门调整工作时间，给供应商提供便捷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3、对于当地防疫政策变化，及时告知供应商，避免造成物流障碍与损失；4、对于供应商来料不合格，积极采取有效措施友好解决，减少退货，减少供应商的物流损失和其他损失。</w:t>
            </w:r>
          </w:p>
        </w:tc>
        <w:tc>
          <w:tcPr>
            <w:tcW w:w="2009" w:type="dxa"/>
            <w:vAlign w:val="center"/>
          </w:tcPr>
          <w:p>
            <w:pPr>
              <w:spacing w:line="276" w:lineRule="auto"/>
              <w:rPr>
                <w:rFonts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采购交期达成率等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员工</w:t>
            </w:r>
          </w:p>
        </w:tc>
        <w:tc>
          <w:tcPr>
            <w:tcW w:w="5420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宋体" w:hAnsi="宋体" w:cs="Courier New" w:eastAsiaTheme="minor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1、关心员工生活，使员工有归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属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感。2、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提升员工技能，增加技能补贴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。3、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加强员工沟通，及时解决员工关心与关注问题。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4、实行多劳多得。</w:t>
            </w:r>
          </w:p>
        </w:tc>
        <w:tc>
          <w:tcPr>
            <w:tcW w:w="2009" w:type="dxa"/>
            <w:vAlign w:val="center"/>
          </w:tcPr>
          <w:p>
            <w:pPr>
              <w:spacing w:line="276" w:lineRule="auto"/>
              <w:rPr>
                <w:rFonts w:hint="eastAsia" w:ascii="宋体" w:hAnsi="宋体" w:cs="Courier New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员工投诉次数</w:t>
            </w:r>
            <w:r>
              <w:rPr>
                <w:rFonts w:hint="eastAsia" w:ascii="宋体" w:hAnsi="宋体" w:cs="Courier New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或员工满意度</w:t>
            </w:r>
          </w:p>
        </w:tc>
      </w:tr>
    </w:tbl>
    <w:p>
      <w:pPr>
        <w:tabs>
          <w:tab w:val="left" w:pos="10080"/>
        </w:tabs>
        <w:snapToGrid w:val="0"/>
        <w:spacing w:line="240" w:lineRule="atLeast"/>
        <w:ind w:right="25" w:rightChars="12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276" w:lineRule="auto"/>
        <w:outlineLvl w:val="0"/>
        <w:rPr>
          <w:rFonts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bookmarkStart w:id="21" w:name="_Toc451610988"/>
      <w:bookmarkStart w:id="22" w:name="_Toc451610895"/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、社会责任</w:t>
      </w:r>
      <w:bookmarkEnd w:id="21"/>
      <w:bookmarkEnd w:id="22"/>
    </w:p>
    <w:p>
      <w:pPr>
        <w:spacing w:before="156" w:beforeLines="50" w:after="156" w:afterLines="50" w:line="276" w:lineRule="auto"/>
        <w:outlineLvl w:val="1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3" w:name="_Toc451610896"/>
      <w:bookmarkStart w:id="24" w:name="_Toc451610989"/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（一）诚信守法</w:t>
      </w:r>
      <w:bookmarkEnd w:id="23"/>
      <w:bookmarkEnd w:id="24"/>
    </w:p>
    <w:p>
      <w:pPr>
        <w:spacing w:before="100" w:after="100" w:line="360" w:lineRule="auto"/>
        <w:ind w:firstLine="600" w:firstLineChars="250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公司高层（法人）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遵循“依法经营、诚信经营”的管理理念，严格遵循《公司法》、《经济法》、《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中华人民共和国民法典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》、《产品质量法》、《安全生产法》、《环保法》、《劳动法》以及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生物柴油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行业的相关法律法规，加强员工法律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意识宣导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，配合政府部门开展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相关法律的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教育活动，表彰“正能量”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，使诚信守法的作风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与理念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深入全体员工的意识和行为。公司合同主动违约率为零，不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恶意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拖欠银行贷款，逾期应收账款降至合理范围，公司高层、中层领导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均无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违法乱纪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记录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，员工违法次数为零，在顾客、用户、公众、社会中树立了良好的</w:t>
      </w: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诚信守法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形象。</w:t>
      </w:r>
    </w:p>
    <w:p>
      <w:pPr>
        <w:spacing w:before="156" w:beforeLines="50" w:after="156" w:afterLines="50" w:line="276" w:lineRule="auto"/>
        <w:outlineLvl w:val="1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5" w:name="_Toc451610897"/>
      <w:bookmarkStart w:id="26" w:name="_Toc451610990"/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（二）质量安全</w:t>
      </w:r>
      <w:bookmarkEnd w:id="25"/>
      <w:bookmarkEnd w:id="26"/>
    </w:p>
    <w:p>
      <w:pPr>
        <w:topLinePunct/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生产运行控制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，严把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关，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通过原料检验、过程检验、出厂检验，以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确保最终产品质量的合格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after="156" w:afterLines="50" w:line="276" w:lineRule="auto"/>
        <w:outlineLvl w:val="1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7" w:name="_Toc451610991"/>
      <w:bookmarkStart w:id="28" w:name="_Toc451610898"/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（三）员工权益</w:t>
      </w:r>
      <w:bookmarkEnd w:id="27"/>
      <w:bookmarkEnd w:id="28"/>
      <w:bookmarkStart w:id="29" w:name="_Ref328491126"/>
    </w:p>
    <w:bookmarkEnd w:id="29"/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收购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以来严格遵守《中华人民共和国劳动法》、《中华人民共和国劳动合同法》等劳动和社会保障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方面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的法律、法规和规章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全员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劳动合同制，与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《劳动合同法》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用工条件的员工均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签订了《劳动合同》，并为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全体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员工员工缴纳了养老保险金、工伤保险金、医疗保险金、失业保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险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金、生育保险金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，并根据当地政策，为员工缴纳公积金，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依法享受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婚假、丧假、产假等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薪假期。公司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社会保险覆盖面为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%，劳动合同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签订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率为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与此同时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公司为员工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节日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福利、防暑降温药品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、禁烟补助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等福利。公司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不断完善员工反映问题和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诉求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的渠道及处理机制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员工可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通过电话、微信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渠道，反映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他们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遇到或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需要解决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的问题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，且处理及时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、结果恰当，保障了员工的合法权益。</w:t>
      </w:r>
    </w:p>
    <w:p>
      <w:pPr>
        <w:topLinePunct/>
        <w:spacing w:line="360" w:lineRule="auto"/>
        <w:ind w:firstLine="480" w:firstLineChars="200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于表现良好的员工实行退休返聘制度，为返聘员工缴纳工伤保险，对工资待遇及福利方面与其他合同制员工享受同等待遇。公司对一些特殊人群成立阳光家园，安排专业人员对其进行管理，并为提供休息、康复、娱乐等场地。</w:t>
      </w:r>
    </w:p>
    <w:p>
      <w:pPr>
        <w:topLinePunct/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与集团公司一起组织各种活动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，丰富员工的工作和业余生活，构造和谐工作环境，激发员工爱心、积极性和创造性，促进公司和谐发展。</w:t>
      </w:r>
    </w:p>
    <w:p>
      <w:pPr>
        <w:spacing w:before="156" w:beforeLines="50" w:after="156" w:afterLines="50" w:line="276" w:lineRule="auto"/>
        <w:outlineLvl w:val="0"/>
        <w:rPr>
          <w:rFonts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环境责任</w:t>
      </w:r>
    </w:p>
    <w:p>
      <w:pPr>
        <w:spacing w:line="360" w:lineRule="auto"/>
        <w:ind w:firstLine="720" w:firstLineChars="300"/>
        <w:rPr>
          <w:rFonts w:ascii="宋体" w:hAnsi="宋体" w:eastAsia="宋体" w:cs="Times New Roman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依据《环保法》及相关法律法规要求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，通过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制度规范及管控标准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，强化管理，各种污染物达标排放；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制定环境目标及管理方案，明确责任部门，并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月度考核与相关法规、标准的培训，确保公司环境目标的达成。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除了严格遵守《环保法》及相关法律法规要求外，还制定内部管控与制度，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颁布并实施了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《环境因素识别与评价控制程序》、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环境、职业健康安全绩效监测程序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、环境管理制度汇编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程序文件及相关制度。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6"/>
        <w:ind w:firstLine="480"/>
        <w:rPr>
          <w:rFonts w:asciiTheme="minorEastAsia" w:hAnsiTheme="minorEastAsia" w:eastAsiaTheme="minorEastAsia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公司对重要环境因素进行了识别，确定了《重要环境因素清单》，并制定了</w:t>
      </w: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2022年度环境目标和管理方案，公司具体环境目标及主要控制措施如下</w:t>
      </w: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：</w:t>
      </w:r>
    </w:p>
    <w:p>
      <w:pPr>
        <w:pStyle w:val="86"/>
        <w:ind w:firstLine="480"/>
        <w:rPr>
          <w:rFonts w:hint="default" w:asciiTheme="minorEastAsia" w:hAnsiTheme="minorEastAsia" w:eastAsiaTheme="minorEastAsia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  <w:t>废水经污水处理达到《污水综合排放标准》三级标准，达标排放率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6"/>
        <w:ind w:firstLine="480"/>
        <w:rPr>
          <w:rFonts w:asciiTheme="minorEastAsia" w:hAnsiTheme="minorEastAsia" w:eastAsiaTheme="minorEastAsia"/>
          <w:bCs w:val="0"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  <w:t>主要措施：相关设施改善，如通过</w:t>
      </w: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3#厌氧罐改造，提升污水的处理能力</w:t>
      </w: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86"/>
        <w:numPr>
          <w:ilvl w:val="0"/>
          <w:numId w:val="0"/>
        </w:numPr>
        <w:ind w:left="480" w:leftChars="0"/>
        <w:rPr>
          <w:rFonts w:hint="default" w:asciiTheme="minorEastAsia" w:hAnsiTheme="minorEastAsia" w:eastAsiaTheme="minorEastAsia"/>
          <w:b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  <w:t>一般固废、危废合规处理率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100%</w:t>
      </w:r>
    </w:p>
    <w:p>
      <w:pPr>
        <w:pStyle w:val="86"/>
        <w:ind w:firstLine="480"/>
        <w:rPr>
          <w:rFonts w:asciiTheme="minorEastAsia" w:hAnsiTheme="minorEastAsia" w:eastAsiaTheme="minorEastAsia"/>
          <w:bCs w:val="0"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  <w:t>主要措施：建立《环境运行控制程序》，健全公司环境管理制度；设置工业垃圾分类区域，对于工业垃圾进行分类管理；与相关废物处置单位签署委托处置协议，并按照相关流程及要求进行处置。</w:t>
      </w:r>
    </w:p>
    <w:p>
      <w:pPr>
        <w:pStyle w:val="86"/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zh-CN"/>
          <w14:textFill>
            <w14:solidFill>
              <w14:schemeClr w14:val="tx1"/>
            </w14:solidFill>
          </w14:textFill>
        </w:rPr>
        <w:t>工业废弃达到《大气污染物综合排放标准》二级标准；厂界噪音达到《工业企业厂界噪音标准》</w:t>
      </w: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3级，全年无重大环境泄漏事故、无重大环境投诉及政府环保处罚。</w:t>
      </w:r>
    </w:p>
    <w:p>
      <w:pPr>
        <w:spacing w:line="360" w:lineRule="auto"/>
        <w:ind w:firstLine="480"/>
        <w:rPr>
          <w:rFonts w:hint="default" w:cs="Times New Roman" w:asciiTheme="minorEastAsia" w:hAnsiTheme="minorEastAsia"/>
          <w:bCs w:val="0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Cs w:val="0"/>
          <w:color w:val="000000" w:themeColor="text1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主要措施：</w:t>
      </w:r>
      <w:r>
        <w:rPr>
          <w:rFonts w:hint="eastAsia" w:cs="Times New Roman" w:asciiTheme="minorEastAsia" w:hAnsiTheme="minorEastAsia"/>
          <w:bCs w:val="0"/>
          <w:color w:val="000000" w:themeColor="text1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安装尾气喷淋塔、对废弃回收管道进行更改、员工劳动防护用品的发放及督促正确佩戴、加强应急演练等。</w:t>
      </w:r>
    </w:p>
    <w:p>
      <w:pPr>
        <w:widowControl/>
        <w:shd w:val="clear" w:color="auto" w:fill="FFFFFF"/>
        <w:spacing w:line="276" w:lineRule="auto"/>
        <w:jc w:val="left"/>
        <w:outlineLvl w:val="1"/>
        <w:rPr>
          <w:rFonts w:hint="eastAsia" w:ascii="宋体" w:hAnsi="宋体" w:eastAsia="宋体" w:cs="Helvetica"/>
          <w:b/>
          <w:bCs/>
          <w:color w:val="000000" w:themeColor="text1"/>
          <w:kern w:val="0"/>
          <w:sz w:val="24"/>
          <w:szCs w:val="24"/>
          <w:lang w:val="en" w:eastAsia="zh-CN"/>
          <w14:textFill>
            <w14:solidFill>
              <w14:schemeClr w14:val="tx1"/>
            </w14:solidFill>
          </w14:textFill>
        </w:rPr>
      </w:pPr>
      <w:bookmarkStart w:id="30" w:name="_Toc451610900"/>
      <w:bookmarkStart w:id="31" w:name="_Toc451610993"/>
      <w:r>
        <w:rPr>
          <w:rFonts w:hint="eastAsia" w:ascii="宋体" w:hAnsi="宋体" w:eastAsia="宋体" w:cs="Helvetica"/>
          <w:b/>
          <w:bCs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Helvetica"/>
          <w:b/>
          <w:bCs/>
          <w:color w:val="000000" w:themeColor="text1"/>
          <w:kern w:val="0"/>
          <w:sz w:val="24"/>
          <w:szCs w:val="24"/>
          <w:lang w:val="en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Helvetica"/>
          <w:b/>
          <w:bCs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）社会荣誉</w:t>
      </w:r>
      <w:bookmarkEnd w:id="30"/>
      <w:bookmarkEnd w:id="31"/>
      <w:r>
        <w:rPr>
          <w:rFonts w:hint="eastAsia" w:ascii="宋体" w:hAnsi="宋体" w:eastAsia="宋体" w:cs="Helvetica"/>
          <w:b/>
          <w:bCs/>
          <w:color w:val="000000" w:themeColor="text1"/>
          <w:kern w:val="0"/>
          <w:sz w:val="24"/>
          <w:szCs w:val="24"/>
          <w:lang w:val="en" w:eastAsia="zh-CN"/>
          <w14:textFill>
            <w14:solidFill>
              <w14:schemeClr w14:val="tx1"/>
            </w14:solidFill>
          </w14:textFill>
        </w:rPr>
        <w:t>与公益支持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公司在生产经营活动中诚实、守信，获得顾客、供应商、质监、工商、税务等方面的广泛好评，也获得当地政府系列殊誉，如被授予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浙江省科技型中小企业，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先后荣获“桐乡市大企业培养工程奖”、“桐乡市亩产效益十强奖”、“桐乡市亩产税收十强工业企业”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等殊誉。</w:t>
      </w:r>
    </w:p>
    <w:p>
      <w:pPr>
        <w:pStyle w:val="86"/>
        <w:ind w:firstLine="480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公司深知，公司的发展和财富的积累来源于社会与各级领导的呵护和关心，都离不开社会各界的厚爱和支持。公司坚持回馈社会，认真履行企业的社会责任。公司在注重企业经营的同时，积极参加各类公益慈善活动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关注特殊人群，成立阳光家园，为残疾人群提供一个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休息、康复、娱乐一体的温馨场所，同时为他们缴纳社保保险，并核发一定的工资，确保他们有人关爱、有所保障，为社会贡献一份爱心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276" w:lineRule="auto"/>
        <w:jc w:val="left"/>
        <w:outlineLvl w:val="1"/>
        <w:rPr>
          <w:rFonts w:hint="default" w:ascii="宋体" w:hAnsi="宋体" w:eastAsia="宋体" w:cs="Helvetic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Helvetic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与此同时，公司在集团的引领下，为防疫人员捐献防疫物资，积极做志愿者，并在集团总部门口设置核酸检测点，为当地防疫工作尽一份心力和责任。</w:t>
      </w:r>
    </w:p>
    <w:bookmarkEnd w:id="32"/>
    <w:p>
      <w:pPr>
        <w:spacing w:line="360" w:lineRule="auto"/>
        <w:ind w:firstLine="480" w:firstLineChars="200"/>
        <w:rPr>
          <w:rFonts w:cs="Times New Roman" w:asciiTheme="minorEastAsia" w:hAnsiTheme="minorEastAsia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-Narrow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00DDC"/>
    <w:multiLevelType w:val="multilevel"/>
    <w:tmpl w:val="04600DD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YzI4NDU4NWQ4NGFlZWU3OTcwOTdkNTQxYjJkMzcifQ=="/>
  </w:docVars>
  <w:rsids>
    <w:rsidRoot w:val="00CD5536"/>
    <w:rsid w:val="000001E5"/>
    <w:rsid w:val="00004397"/>
    <w:rsid w:val="00036A7A"/>
    <w:rsid w:val="000437A1"/>
    <w:rsid w:val="000519DC"/>
    <w:rsid w:val="00063282"/>
    <w:rsid w:val="00066D0C"/>
    <w:rsid w:val="00093D9A"/>
    <w:rsid w:val="000963CA"/>
    <w:rsid w:val="000C30FD"/>
    <w:rsid w:val="000C3B69"/>
    <w:rsid w:val="000F2948"/>
    <w:rsid w:val="000F7571"/>
    <w:rsid w:val="0011569F"/>
    <w:rsid w:val="00116ECF"/>
    <w:rsid w:val="00131595"/>
    <w:rsid w:val="001420F3"/>
    <w:rsid w:val="00165DCC"/>
    <w:rsid w:val="00186145"/>
    <w:rsid w:val="001B196B"/>
    <w:rsid w:val="001B2308"/>
    <w:rsid w:val="001F2219"/>
    <w:rsid w:val="001F317C"/>
    <w:rsid w:val="0020185A"/>
    <w:rsid w:val="00205BD5"/>
    <w:rsid w:val="00225468"/>
    <w:rsid w:val="00233AAC"/>
    <w:rsid w:val="00234E6C"/>
    <w:rsid w:val="00241399"/>
    <w:rsid w:val="0024604C"/>
    <w:rsid w:val="0028168F"/>
    <w:rsid w:val="002827AB"/>
    <w:rsid w:val="002A0390"/>
    <w:rsid w:val="002B6B4E"/>
    <w:rsid w:val="002C1EB4"/>
    <w:rsid w:val="003209F3"/>
    <w:rsid w:val="00330422"/>
    <w:rsid w:val="00377118"/>
    <w:rsid w:val="0038056F"/>
    <w:rsid w:val="00385FB5"/>
    <w:rsid w:val="00397853"/>
    <w:rsid w:val="003C2E66"/>
    <w:rsid w:val="003C2FB7"/>
    <w:rsid w:val="003F0C1A"/>
    <w:rsid w:val="004432F6"/>
    <w:rsid w:val="00463CC3"/>
    <w:rsid w:val="00470384"/>
    <w:rsid w:val="004839EA"/>
    <w:rsid w:val="00485095"/>
    <w:rsid w:val="004978CF"/>
    <w:rsid w:val="004A06E6"/>
    <w:rsid w:val="004A48E7"/>
    <w:rsid w:val="004B21B4"/>
    <w:rsid w:val="004D00DD"/>
    <w:rsid w:val="00514CFC"/>
    <w:rsid w:val="005177C0"/>
    <w:rsid w:val="00525461"/>
    <w:rsid w:val="00554B93"/>
    <w:rsid w:val="00555AC2"/>
    <w:rsid w:val="005753C7"/>
    <w:rsid w:val="005A5A6F"/>
    <w:rsid w:val="005C7BEC"/>
    <w:rsid w:val="005E6966"/>
    <w:rsid w:val="00603844"/>
    <w:rsid w:val="0060628D"/>
    <w:rsid w:val="00634892"/>
    <w:rsid w:val="00637B07"/>
    <w:rsid w:val="006644E1"/>
    <w:rsid w:val="00667FBF"/>
    <w:rsid w:val="00671E41"/>
    <w:rsid w:val="00686622"/>
    <w:rsid w:val="006E2612"/>
    <w:rsid w:val="006E2EF1"/>
    <w:rsid w:val="006F6F50"/>
    <w:rsid w:val="00703B80"/>
    <w:rsid w:val="00716577"/>
    <w:rsid w:val="00730453"/>
    <w:rsid w:val="00730A7E"/>
    <w:rsid w:val="00736DA1"/>
    <w:rsid w:val="00767175"/>
    <w:rsid w:val="00773D0E"/>
    <w:rsid w:val="00782661"/>
    <w:rsid w:val="0078520C"/>
    <w:rsid w:val="00793FD8"/>
    <w:rsid w:val="007949D8"/>
    <w:rsid w:val="00796A8E"/>
    <w:rsid w:val="007A06E1"/>
    <w:rsid w:val="007A69F4"/>
    <w:rsid w:val="007B1A38"/>
    <w:rsid w:val="007D3629"/>
    <w:rsid w:val="007D448A"/>
    <w:rsid w:val="007F6C94"/>
    <w:rsid w:val="00804A66"/>
    <w:rsid w:val="00824AF2"/>
    <w:rsid w:val="00865625"/>
    <w:rsid w:val="00880AAF"/>
    <w:rsid w:val="008B2A22"/>
    <w:rsid w:val="008C620B"/>
    <w:rsid w:val="008D6AFC"/>
    <w:rsid w:val="008D6DB7"/>
    <w:rsid w:val="008E7DC2"/>
    <w:rsid w:val="00902A23"/>
    <w:rsid w:val="009112BB"/>
    <w:rsid w:val="00923E91"/>
    <w:rsid w:val="00930314"/>
    <w:rsid w:val="0094693B"/>
    <w:rsid w:val="00951B16"/>
    <w:rsid w:val="00966680"/>
    <w:rsid w:val="009740FA"/>
    <w:rsid w:val="009811C7"/>
    <w:rsid w:val="00991568"/>
    <w:rsid w:val="00992744"/>
    <w:rsid w:val="009A0384"/>
    <w:rsid w:val="009B3814"/>
    <w:rsid w:val="009F0B5B"/>
    <w:rsid w:val="009F5B39"/>
    <w:rsid w:val="009F7CA5"/>
    <w:rsid w:val="009F7FA0"/>
    <w:rsid w:val="00A31629"/>
    <w:rsid w:val="00A322BA"/>
    <w:rsid w:val="00A34090"/>
    <w:rsid w:val="00A35D62"/>
    <w:rsid w:val="00A41920"/>
    <w:rsid w:val="00A653C6"/>
    <w:rsid w:val="00A8186C"/>
    <w:rsid w:val="00A8779C"/>
    <w:rsid w:val="00AE5531"/>
    <w:rsid w:val="00AF0773"/>
    <w:rsid w:val="00B1748F"/>
    <w:rsid w:val="00B41AA4"/>
    <w:rsid w:val="00B575F2"/>
    <w:rsid w:val="00B63551"/>
    <w:rsid w:val="00B65A19"/>
    <w:rsid w:val="00B7013E"/>
    <w:rsid w:val="00B81A74"/>
    <w:rsid w:val="00B9573E"/>
    <w:rsid w:val="00BA0555"/>
    <w:rsid w:val="00BA5798"/>
    <w:rsid w:val="00BB2768"/>
    <w:rsid w:val="00BC2A82"/>
    <w:rsid w:val="00BD23D5"/>
    <w:rsid w:val="00BE1B36"/>
    <w:rsid w:val="00BF1FAE"/>
    <w:rsid w:val="00BF63C4"/>
    <w:rsid w:val="00C160A4"/>
    <w:rsid w:val="00C17FC8"/>
    <w:rsid w:val="00C5360B"/>
    <w:rsid w:val="00C5726F"/>
    <w:rsid w:val="00C62CC5"/>
    <w:rsid w:val="00C72D50"/>
    <w:rsid w:val="00C75F8D"/>
    <w:rsid w:val="00C76CCB"/>
    <w:rsid w:val="00C93C36"/>
    <w:rsid w:val="00CC6321"/>
    <w:rsid w:val="00CC6FE8"/>
    <w:rsid w:val="00CD5536"/>
    <w:rsid w:val="00CD5A41"/>
    <w:rsid w:val="00CD6E6A"/>
    <w:rsid w:val="00CE52C8"/>
    <w:rsid w:val="00CF5AE9"/>
    <w:rsid w:val="00D0108B"/>
    <w:rsid w:val="00D315B0"/>
    <w:rsid w:val="00D43FE8"/>
    <w:rsid w:val="00D46845"/>
    <w:rsid w:val="00D56F1C"/>
    <w:rsid w:val="00D63E2A"/>
    <w:rsid w:val="00D76656"/>
    <w:rsid w:val="00D77F15"/>
    <w:rsid w:val="00D958DE"/>
    <w:rsid w:val="00D96721"/>
    <w:rsid w:val="00DA3FF1"/>
    <w:rsid w:val="00DC004C"/>
    <w:rsid w:val="00DE4754"/>
    <w:rsid w:val="00E00A92"/>
    <w:rsid w:val="00E1560D"/>
    <w:rsid w:val="00E23FAD"/>
    <w:rsid w:val="00E52188"/>
    <w:rsid w:val="00E6632C"/>
    <w:rsid w:val="00E95499"/>
    <w:rsid w:val="00EA43FF"/>
    <w:rsid w:val="00EC34CD"/>
    <w:rsid w:val="00EC5685"/>
    <w:rsid w:val="00EF7FEC"/>
    <w:rsid w:val="00F02061"/>
    <w:rsid w:val="00F14E52"/>
    <w:rsid w:val="00F72C6E"/>
    <w:rsid w:val="00F73F58"/>
    <w:rsid w:val="00FC3183"/>
    <w:rsid w:val="00FD64F9"/>
    <w:rsid w:val="01915353"/>
    <w:rsid w:val="03AF34A2"/>
    <w:rsid w:val="05205355"/>
    <w:rsid w:val="05B22471"/>
    <w:rsid w:val="060374E1"/>
    <w:rsid w:val="062D2BD2"/>
    <w:rsid w:val="077D659E"/>
    <w:rsid w:val="07A3662E"/>
    <w:rsid w:val="08103D86"/>
    <w:rsid w:val="084F5179"/>
    <w:rsid w:val="099C3C23"/>
    <w:rsid w:val="0AD33DF1"/>
    <w:rsid w:val="0AE05D93"/>
    <w:rsid w:val="0E92577A"/>
    <w:rsid w:val="0F5D0D6A"/>
    <w:rsid w:val="10D83D2F"/>
    <w:rsid w:val="1182036D"/>
    <w:rsid w:val="12A00859"/>
    <w:rsid w:val="139136E3"/>
    <w:rsid w:val="15E4163C"/>
    <w:rsid w:val="16BE6781"/>
    <w:rsid w:val="1B302111"/>
    <w:rsid w:val="1CEA64F7"/>
    <w:rsid w:val="1D124FAA"/>
    <w:rsid w:val="1EA64688"/>
    <w:rsid w:val="1F7F279A"/>
    <w:rsid w:val="1FA64B6F"/>
    <w:rsid w:val="1FB65DB1"/>
    <w:rsid w:val="1FBF0576"/>
    <w:rsid w:val="1FE32AA5"/>
    <w:rsid w:val="223775AC"/>
    <w:rsid w:val="225B49EE"/>
    <w:rsid w:val="228864EB"/>
    <w:rsid w:val="23062BEE"/>
    <w:rsid w:val="238C54B4"/>
    <w:rsid w:val="23DB1D7E"/>
    <w:rsid w:val="260B328E"/>
    <w:rsid w:val="262E6DDF"/>
    <w:rsid w:val="26927132"/>
    <w:rsid w:val="277B0325"/>
    <w:rsid w:val="283641B9"/>
    <w:rsid w:val="28C07367"/>
    <w:rsid w:val="2E5A64A6"/>
    <w:rsid w:val="2ED0528E"/>
    <w:rsid w:val="2F6A4ABB"/>
    <w:rsid w:val="2F91426B"/>
    <w:rsid w:val="2FBB4B02"/>
    <w:rsid w:val="30080929"/>
    <w:rsid w:val="306C4742"/>
    <w:rsid w:val="30CA240F"/>
    <w:rsid w:val="31726B84"/>
    <w:rsid w:val="32D6725D"/>
    <w:rsid w:val="38696D97"/>
    <w:rsid w:val="389D5118"/>
    <w:rsid w:val="3BBF6B5C"/>
    <w:rsid w:val="3D363475"/>
    <w:rsid w:val="40E30EA6"/>
    <w:rsid w:val="41EC6FB9"/>
    <w:rsid w:val="42554B5E"/>
    <w:rsid w:val="43875DE9"/>
    <w:rsid w:val="43C53B2C"/>
    <w:rsid w:val="44607C67"/>
    <w:rsid w:val="44C24A6A"/>
    <w:rsid w:val="456B6D47"/>
    <w:rsid w:val="48D811F5"/>
    <w:rsid w:val="4A335C52"/>
    <w:rsid w:val="4CB6269D"/>
    <w:rsid w:val="4E472C87"/>
    <w:rsid w:val="4E5A19FE"/>
    <w:rsid w:val="4FEA4CC3"/>
    <w:rsid w:val="508B3E41"/>
    <w:rsid w:val="51677B95"/>
    <w:rsid w:val="51E97071"/>
    <w:rsid w:val="52631F37"/>
    <w:rsid w:val="544E40F9"/>
    <w:rsid w:val="562E1412"/>
    <w:rsid w:val="576C6887"/>
    <w:rsid w:val="58782EFD"/>
    <w:rsid w:val="5965519C"/>
    <w:rsid w:val="5A9D3738"/>
    <w:rsid w:val="5AA07905"/>
    <w:rsid w:val="5AEB3E5A"/>
    <w:rsid w:val="5B554A30"/>
    <w:rsid w:val="5EC1067A"/>
    <w:rsid w:val="5F7610AD"/>
    <w:rsid w:val="609142F0"/>
    <w:rsid w:val="62737E69"/>
    <w:rsid w:val="6361115D"/>
    <w:rsid w:val="63B363F7"/>
    <w:rsid w:val="69D13148"/>
    <w:rsid w:val="6C276CBC"/>
    <w:rsid w:val="6C45775B"/>
    <w:rsid w:val="6E3F653F"/>
    <w:rsid w:val="6F1D423F"/>
    <w:rsid w:val="70A93CDE"/>
    <w:rsid w:val="70DE346E"/>
    <w:rsid w:val="72914351"/>
    <w:rsid w:val="72BE0D6A"/>
    <w:rsid w:val="73292CA4"/>
    <w:rsid w:val="732E3974"/>
    <w:rsid w:val="732F36FA"/>
    <w:rsid w:val="73726A6F"/>
    <w:rsid w:val="75332B1D"/>
    <w:rsid w:val="76E87DFC"/>
    <w:rsid w:val="77343CF4"/>
    <w:rsid w:val="78746025"/>
    <w:rsid w:val="7A9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8"/>
    <w:qFormat/>
    <w:uiPriority w:val="9"/>
    <w:pPr>
      <w:keepNext/>
      <w:keepLines/>
      <w:spacing w:before="60" w:after="60"/>
      <w:outlineLvl w:val="2"/>
    </w:pPr>
    <w:rPr>
      <w:rFonts w:ascii="Calibri" w:hAnsi="Calibri" w:eastAsia="宋体" w:cs="Times New Roman"/>
      <w:b/>
      <w:bCs/>
      <w:szCs w:val="32"/>
    </w:rPr>
  </w:style>
  <w:style w:type="paragraph" w:styleId="5">
    <w:name w:val="heading 4"/>
    <w:basedOn w:val="1"/>
    <w:next w:val="1"/>
    <w:link w:val="59"/>
    <w:qFormat/>
    <w:uiPriority w:val="9"/>
    <w:pPr>
      <w:keepNext/>
      <w:keepLines/>
      <w:spacing w:before="60" w:after="60"/>
      <w:outlineLvl w:val="3"/>
    </w:pPr>
    <w:rPr>
      <w:rFonts w:ascii="Cambria" w:hAnsi="Cambria" w:eastAsia="宋体" w:cs="Times New Roman"/>
      <w:b/>
      <w:bCs/>
      <w:szCs w:val="28"/>
    </w:rPr>
  </w:style>
  <w:style w:type="paragraph" w:styleId="6">
    <w:name w:val="heading 5"/>
    <w:basedOn w:val="1"/>
    <w:next w:val="1"/>
    <w:link w:val="60"/>
    <w:qFormat/>
    <w:uiPriority w:val="9"/>
    <w:pPr>
      <w:keepNext/>
      <w:keepLines/>
      <w:spacing w:before="60" w:after="60"/>
      <w:outlineLvl w:val="4"/>
    </w:pPr>
    <w:rPr>
      <w:rFonts w:ascii="Calibri" w:hAnsi="Calibri" w:eastAsia="宋体" w:cs="Times New Roman"/>
      <w:b/>
      <w:bCs/>
      <w:szCs w:val="28"/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widowControl/>
      <w:spacing w:before="60" w:after="60"/>
      <w:jc w:val="left"/>
      <w:outlineLvl w:val="5"/>
    </w:pPr>
    <w:rPr>
      <w:rFonts w:eastAsia="宋体" w:asciiTheme="majorHAnsi" w:hAnsiTheme="majorHAnsi" w:cstheme="majorBidi"/>
      <w:b/>
      <w:bCs/>
      <w:kern w:val="0"/>
      <w:szCs w:val="24"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widowControl/>
      <w:spacing w:before="240" w:after="64" w:line="320" w:lineRule="auto"/>
      <w:jc w:val="left"/>
      <w:outlineLvl w:val="6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0">
    <w:name w:val="Default Paragraph Font"/>
    <w:semiHidden/>
    <w:unhideWhenUsed/>
    <w:uiPriority w:val="1"/>
  </w:style>
  <w:style w:type="table" w:default="1" w:styleId="3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0">
    <w:name w:val="Note Heading"/>
    <w:basedOn w:val="1"/>
    <w:next w:val="1"/>
    <w:link w:val="71"/>
    <w:qFormat/>
    <w:uiPriority w:val="99"/>
    <w:pPr>
      <w:jc w:val="center"/>
    </w:pPr>
    <w:rPr>
      <w:rFonts w:ascii="Times New Roman" w:hAnsi="Times New Roman" w:eastAsia="宋体" w:cs="Times New Roman"/>
      <w:szCs w:val="21"/>
    </w:r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Document Map"/>
    <w:basedOn w:val="1"/>
    <w:link w:val="76"/>
    <w:unhideWhenUsed/>
    <w:qFormat/>
    <w:uiPriority w:val="99"/>
    <w:rPr>
      <w:rFonts w:ascii="宋体" w:hAnsi="Calibri" w:eastAsia="宋体" w:cs="Times New Roman"/>
      <w:sz w:val="18"/>
      <w:szCs w:val="18"/>
    </w:rPr>
  </w:style>
  <w:style w:type="paragraph" w:styleId="14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Times New Roman"/>
      <w:b/>
      <w:bCs/>
      <w:szCs w:val="21"/>
    </w:rPr>
  </w:style>
  <w:style w:type="paragraph" w:styleId="15">
    <w:name w:val="annotation text"/>
    <w:basedOn w:val="1"/>
    <w:link w:val="52"/>
    <w:unhideWhenUsed/>
    <w:qFormat/>
    <w:uiPriority w:val="99"/>
    <w:pPr>
      <w:jc w:val="left"/>
    </w:pPr>
  </w:style>
  <w:style w:type="paragraph" w:styleId="16">
    <w:name w:val="Salutation"/>
    <w:basedOn w:val="1"/>
    <w:next w:val="1"/>
    <w:link w:val="63"/>
    <w:qFormat/>
    <w:uiPriority w:val="99"/>
    <w:rPr>
      <w:rFonts w:ascii="Times New Roman" w:hAnsi="Times New Roman" w:eastAsia="宋体" w:cs="Times New Roman"/>
      <w:szCs w:val="21"/>
    </w:rPr>
  </w:style>
  <w:style w:type="paragraph" w:styleId="17">
    <w:name w:val="List Bullet 3"/>
    <w:basedOn w:val="1"/>
    <w:qFormat/>
    <w:uiPriority w:val="0"/>
    <w:pPr>
      <w:tabs>
        <w:tab w:val="left" w:pos="1200"/>
      </w:tabs>
    </w:pPr>
    <w:rPr>
      <w:rFonts w:ascii="Times New Roman" w:hAnsi="Times New Roman" w:eastAsia="宋体" w:cs="Times New Roman"/>
      <w:szCs w:val="21"/>
    </w:rPr>
  </w:style>
  <w:style w:type="paragraph" w:styleId="18">
    <w:name w:val="Body Text"/>
    <w:basedOn w:val="1"/>
    <w:link w:val="68"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19">
    <w:name w:val="Body Text Indent"/>
    <w:basedOn w:val="1"/>
    <w:qFormat/>
    <w:uiPriority w:val="0"/>
    <w:pPr>
      <w:spacing w:line="480" w:lineRule="exact"/>
      <w:ind w:firstLine="480" w:firstLineChars="200"/>
    </w:pPr>
    <w:rPr>
      <w:sz w:val="24"/>
    </w:rPr>
  </w:style>
  <w:style w:type="paragraph" w:styleId="2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2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</w:rPr>
  </w:style>
  <w:style w:type="paragraph" w:styleId="22">
    <w:name w:val="Plain Text"/>
    <w:basedOn w:val="1"/>
    <w:link w:val="66"/>
    <w:qFormat/>
    <w:uiPriority w:val="0"/>
    <w:rPr>
      <w:rFonts w:ascii="宋体" w:hAnsi="Courier New" w:eastAsia="宋体" w:cs="Times New Roman"/>
      <w:szCs w:val="20"/>
    </w:rPr>
  </w:style>
  <w:style w:type="paragraph" w:styleId="23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4">
    <w:name w:val="Date"/>
    <w:basedOn w:val="1"/>
    <w:next w:val="1"/>
    <w:link w:val="70"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25">
    <w:name w:val="endnote text"/>
    <w:basedOn w:val="1"/>
    <w:link w:val="80"/>
    <w:unhideWhenUsed/>
    <w:qFormat/>
    <w:uiPriority w:val="99"/>
    <w:pPr>
      <w:widowControl/>
      <w:snapToGrid w:val="0"/>
      <w:jc w:val="left"/>
    </w:pPr>
    <w:rPr>
      <w:rFonts w:ascii="宋体" w:hAnsi="宋体" w:eastAsia="宋体" w:cs="宋体"/>
      <w:kern w:val="0"/>
      <w:szCs w:val="24"/>
    </w:rPr>
  </w:style>
  <w:style w:type="paragraph" w:styleId="26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7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</w:style>
  <w:style w:type="paragraph" w:styleId="30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3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3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5">
    <w:name w:val="index 1"/>
    <w:basedOn w:val="1"/>
    <w:next w:val="1"/>
    <w:semiHidden/>
    <w:qFormat/>
    <w:uiPriority w:val="0"/>
    <w:pPr>
      <w:widowControl/>
      <w:ind w:firstLine="420" w:firstLineChars="200"/>
      <w:jc w:val="left"/>
    </w:pPr>
    <w:rPr>
      <w:rFonts w:ascii="宋体" w:hAnsi="宋体" w:eastAsia="宋体" w:cs="Times New Roman"/>
      <w:color w:val="000000"/>
      <w:kern w:val="0"/>
      <w:szCs w:val="21"/>
    </w:rPr>
  </w:style>
  <w:style w:type="paragraph" w:styleId="36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7">
    <w:name w:val="annotation subject"/>
    <w:basedOn w:val="15"/>
    <w:next w:val="15"/>
    <w:link w:val="53"/>
    <w:unhideWhenUsed/>
    <w:qFormat/>
    <w:uiPriority w:val="99"/>
    <w:rPr>
      <w:b/>
      <w:bCs/>
    </w:rPr>
  </w:style>
  <w:style w:type="table" w:styleId="39">
    <w:name w:val="Table Grid"/>
    <w:basedOn w:val="3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endnote reference"/>
    <w:basedOn w:val="40"/>
    <w:unhideWhenUsed/>
    <w:qFormat/>
    <w:uiPriority w:val="99"/>
    <w:rPr>
      <w:vertAlign w:val="superscript"/>
    </w:rPr>
  </w:style>
  <w:style w:type="character" w:styleId="42">
    <w:name w:val="page number"/>
    <w:basedOn w:val="40"/>
    <w:qFormat/>
    <w:uiPriority w:val="0"/>
  </w:style>
  <w:style w:type="character" w:styleId="43">
    <w:name w:val="Hyperlink"/>
    <w:basedOn w:val="4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4">
    <w:name w:val="annotation reference"/>
    <w:basedOn w:val="40"/>
    <w:unhideWhenUsed/>
    <w:qFormat/>
    <w:uiPriority w:val="0"/>
    <w:rPr>
      <w:sz w:val="21"/>
      <w:szCs w:val="21"/>
    </w:rPr>
  </w:style>
  <w:style w:type="character" w:customStyle="1" w:styleId="45">
    <w:name w:val="页眉 字符"/>
    <w:basedOn w:val="40"/>
    <w:link w:val="28"/>
    <w:qFormat/>
    <w:uiPriority w:val="99"/>
    <w:rPr>
      <w:sz w:val="18"/>
      <w:szCs w:val="18"/>
    </w:rPr>
  </w:style>
  <w:style w:type="character" w:customStyle="1" w:styleId="46">
    <w:name w:val="页脚 字符"/>
    <w:basedOn w:val="40"/>
    <w:link w:val="27"/>
    <w:qFormat/>
    <w:uiPriority w:val="99"/>
    <w:rPr>
      <w:sz w:val="18"/>
      <w:szCs w:val="18"/>
    </w:rPr>
  </w:style>
  <w:style w:type="paragraph" w:customStyle="1" w:styleId="47">
    <w:name w:val="aSTL正文"/>
    <w:basedOn w:val="1"/>
    <w:link w:val="48"/>
    <w:qFormat/>
    <w:uiPriority w:val="0"/>
    <w:pPr>
      <w:spacing w:line="300" w:lineRule="auto"/>
      <w:ind w:firstLine="200" w:firstLineChars="200"/>
    </w:pPr>
    <w:rPr>
      <w:rFonts w:ascii="Calibri" w:hAnsi="Calibri" w:eastAsia="宋体" w:cs="Times New Roman"/>
      <w:kern w:val="0"/>
      <w:sz w:val="24"/>
      <w:szCs w:val="20"/>
      <w:lang w:val="zh-CN"/>
    </w:rPr>
  </w:style>
  <w:style w:type="character" w:customStyle="1" w:styleId="48">
    <w:name w:val="aSTL正文 Char"/>
    <w:link w:val="47"/>
    <w:qFormat/>
    <w:uiPriority w:val="0"/>
    <w:rPr>
      <w:rFonts w:ascii="Calibri" w:hAnsi="Calibri" w:eastAsia="宋体" w:cs="Times New Roman"/>
      <w:kern w:val="0"/>
      <w:sz w:val="24"/>
      <w:szCs w:val="20"/>
      <w:lang w:val="zh-CN" w:eastAsia="zh-CN"/>
    </w:rPr>
  </w:style>
  <w:style w:type="paragraph" w:customStyle="1" w:styleId="49">
    <w:name w:val="4.1.1.1.1"/>
    <w:basedOn w:val="1"/>
    <w:link w:val="50"/>
    <w:qFormat/>
    <w:uiPriority w:val="0"/>
    <w:pPr>
      <w:tabs>
        <w:tab w:val="left" w:pos="142"/>
      </w:tabs>
      <w:spacing w:beforeLines="50" w:afterLines="50"/>
      <w:ind w:left="200" w:leftChars="200"/>
      <w:jc w:val="left"/>
      <w:outlineLvl w:val="3"/>
    </w:pPr>
    <w:rPr>
      <w:rFonts w:ascii="宋体" w:hAnsi="宋体" w:eastAsia="宋体" w:cs="Times New Roman"/>
      <w:b/>
      <w:color w:val="000000"/>
      <w:kern w:val="0"/>
      <w:sz w:val="24"/>
      <w:szCs w:val="24"/>
      <w:lang w:val="zh-CN"/>
    </w:rPr>
  </w:style>
  <w:style w:type="character" w:customStyle="1" w:styleId="50">
    <w:name w:val="4.1.1.1.1 Char"/>
    <w:link w:val="49"/>
    <w:qFormat/>
    <w:uiPriority w:val="0"/>
    <w:rPr>
      <w:rFonts w:ascii="宋体" w:hAnsi="宋体" w:eastAsia="宋体" w:cs="Times New Roman"/>
      <w:b/>
      <w:color w:val="000000"/>
      <w:kern w:val="0"/>
      <w:sz w:val="24"/>
      <w:szCs w:val="24"/>
      <w:lang w:val="zh-CN" w:eastAsia="zh-CN"/>
    </w:rPr>
  </w:style>
  <w:style w:type="paragraph" w:styleId="5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2">
    <w:name w:val="批注文字 字符"/>
    <w:basedOn w:val="40"/>
    <w:link w:val="15"/>
    <w:qFormat/>
    <w:uiPriority w:val="99"/>
  </w:style>
  <w:style w:type="character" w:customStyle="1" w:styleId="53">
    <w:name w:val="批注主题 字符"/>
    <w:basedOn w:val="52"/>
    <w:link w:val="37"/>
    <w:qFormat/>
    <w:uiPriority w:val="99"/>
    <w:rPr>
      <w:b/>
      <w:bCs/>
    </w:rPr>
  </w:style>
  <w:style w:type="character" w:customStyle="1" w:styleId="54">
    <w:name w:val="批注框文本 字符"/>
    <w:basedOn w:val="40"/>
    <w:link w:val="26"/>
    <w:qFormat/>
    <w:uiPriority w:val="99"/>
    <w:rPr>
      <w:sz w:val="18"/>
      <w:szCs w:val="18"/>
    </w:rPr>
  </w:style>
  <w:style w:type="character" w:customStyle="1" w:styleId="55">
    <w:name w:val="标题 1 字符"/>
    <w:basedOn w:val="40"/>
    <w:link w:val="2"/>
    <w:qFormat/>
    <w:uiPriority w:val="99"/>
    <w:rPr>
      <w:b/>
      <w:bCs/>
      <w:kern w:val="44"/>
      <w:sz w:val="44"/>
      <w:szCs w:val="44"/>
    </w:rPr>
  </w:style>
  <w:style w:type="paragraph" w:customStyle="1" w:styleId="5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57">
    <w:name w:val="标题 2 字符"/>
    <w:basedOn w:val="40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8">
    <w:name w:val="标题 3 字符"/>
    <w:basedOn w:val="40"/>
    <w:link w:val="4"/>
    <w:qFormat/>
    <w:uiPriority w:val="9"/>
    <w:rPr>
      <w:rFonts w:ascii="Calibri" w:hAnsi="Calibri" w:eastAsia="宋体" w:cs="Times New Roman"/>
      <w:b/>
      <w:bCs/>
      <w:szCs w:val="32"/>
    </w:rPr>
  </w:style>
  <w:style w:type="character" w:customStyle="1" w:styleId="59">
    <w:name w:val="标题 4 字符"/>
    <w:basedOn w:val="40"/>
    <w:link w:val="5"/>
    <w:qFormat/>
    <w:uiPriority w:val="9"/>
    <w:rPr>
      <w:rFonts w:ascii="Cambria" w:hAnsi="Cambria" w:eastAsia="宋体" w:cs="Times New Roman"/>
      <w:b/>
      <w:bCs/>
      <w:szCs w:val="28"/>
    </w:rPr>
  </w:style>
  <w:style w:type="character" w:customStyle="1" w:styleId="60">
    <w:name w:val="标题 5 字符"/>
    <w:basedOn w:val="40"/>
    <w:link w:val="6"/>
    <w:qFormat/>
    <w:uiPriority w:val="9"/>
    <w:rPr>
      <w:rFonts w:ascii="Calibri" w:hAnsi="Calibri" w:eastAsia="宋体" w:cs="Times New Roman"/>
      <w:b/>
      <w:bCs/>
      <w:szCs w:val="28"/>
    </w:rPr>
  </w:style>
  <w:style w:type="character" w:customStyle="1" w:styleId="61">
    <w:name w:val="标题 6 字符"/>
    <w:basedOn w:val="40"/>
    <w:link w:val="7"/>
    <w:qFormat/>
    <w:uiPriority w:val="9"/>
    <w:rPr>
      <w:rFonts w:eastAsia="宋体" w:asciiTheme="majorHAnsi" w:hAnsiTheme="majorHAnsi" w:cstheme="majorBidi"/>
      <w:b/>
      <w:bCs/>
      <w:kern w:val="0"/>
      <w:szCs w:val="24"/>
    </w:rPr>
  </w:style>
  <w:style w:type="character" w:customStyle="1" w:styleId="62">
    <w:name w:val="标题 7 字符"/>
    <w:basedOn w:val="40"/>
    <w:link w:val="8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63">
    <w:name w:val="称呼 字符"/>
    <w:basedOn w:val="40"/>
    <w:link w:val="1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64">
    <w:name w:val="notnullcss1"/>
    <w:basedOn w:val="40"/>
    <w:qFormat/>
    <w:uiPriority w:val="99"/>
    <w:rPr>
      <w:rFonts w:eastAsia="宋体" w:cs="Times New Roman"/>
      <w:color w:val="FF0000"/>
      <w:kern w:val="2"/>
      <w:sz w:val="24"/>
      <w:szCs w:val="24"/>
      <w:lang w:val="en-US" w:eastAsia="zh-CN" w:bidi="ar-SA"/>
    </w:rPr>
  </w:style>
  <w:style w:type="paragraph" w:customStyle="1" w:styleId="65">
    <w:name w:val="xl61"/>
    <w:basedOn w:val="1"/>
    <w:qFormat/>
    <w:uiPriority w:val="99"/>
    <w:pPr>
      <w:widowControl/>
      <w:spacing w:before="100" w:after="100"/>
      <w:jc w:val="right"/>
    </w:pPr>
    <w:rPr>
      <w:rFonts w:ascii="Arial Unicode MS" w:hAnsi="Times New Roman" w:eastAsia="Arial Unicode MS" w:cs="Times New Roman"/>
      <w:kern w:val="0"/>
      <w:sz w:val="18"/>
      <w:szCs w:val="18"/>
    </w:rPr>
  </w:style>
  <w:style w:type="character" w:customStyle="1" w:styleId="66">
    <w:name w:val="纯文本 字符"/>
    <w:basedOn w:val="40"/>
    <w:link w:val="22"/>
    <w:qFormat/>
    <w:uiPriority w:val="0"/>
    <w:rPr>
      <w:rFonts w:ascii="宋体" w:hAnsi="Courier New" w:eastAsia="宋体" w:cs="Times New Roman"/>
      <w:szCs w:val="20"/>
    </w:rPr>
  </w:style>
  <w:style w:type="character" w:customStyle="1" w:styleId="67">
    <w:name w:val="headline-content2"/>
    <w:basedOn w:val="40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68">
    <w:name w:val="正文文本 字符"/>
    <w:basedOn w:val="40"/>
    <w:link w:val="18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69">
    <w:name w:val="write2"/>
    <w:basedOn w:val="1"/>
    <w:qFormat/>
    <w:uiPriority w:val="99"/>
    <w:pPr>
      <w:widowControl/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Helvetica-Narrow" w:hAnsi="Helvetica-Narrow" w:eastAsia="宋体" w:cs="Times New Roman"/>
      <w:kern w:val="0"/>
      <w:szCs w:val="24"/>
      <w:lang w:val="en-AU"/>
    </w:rPr>
  </w:style>
  <w:style w:type="character" w:customStyle="1" w:styleId="70">
    <w:name w:val="日期 字符"/>
    <w:basedOn w:val="40"/>
    <w:link w:val="2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71">
    <w:name w:val="注释标题 字符"/>
    <w:basedOn w:val="40"/>
    <w:link w:val="10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72">
    <w:name w:val="标题5"/>
    <w:basedOn w:val="1"/>
    <w:qFormat/>
    <w:uiPriority w:val="0"/>
    <w:pPr>
      <w:keepNext/>
      <w:keepLines/>
      <w:spacing w:before="60" w:after="60"/>
      <w:ind w:hanging="420" w:hangingChars="200"/>
      <w:outlineLvl w:val="4"/>
    </w:pPr>
    <w:rPr>
      <w:rFonts w:ascii="宋体" w:hAnsi="宋体" w:eastAsia="宋体" w:cs="Times New Roman"/>
      <w:b/>
      <w:bCs/>
      <w:szCs w:val="21"/>
    </w:rPr>
  </w:style>
  <w:style w:type="paragraph" w:customStyle="1" w:styleId="7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正文的样式 Char"/>
    <w:basedOn w:val="40"/>
    <w:link w:val="75"/>
    <w:qFormat/>
    <w:uiPriority w:val="0"/>
    <w:rPr>
      <w:szCs w:val="24"/>
    </w:rPr>
  </w:style>
  <w:style w:type="paragraph" w:customStyle="1" w:styleId="75">
    <w:name w:val="正文的样式"/>
    <w:basedOn w:val="1"/>
    <w:link w:val="74"/>
    <w:qFormat/>
    <w:uiPriority w:val="0"/>
    <w:pPr>
      <w:spacing w:before="100" w:after="100"/>
    </w:pPr>
    <w:rPr>
      <w:szCs w:val="24"/>
    </w:rPr>
  </w:style>
  <w:style w:type="character" w:customStyle="1" w:styleId="76">
    <w:name w:val="文档结构图 字符"/>
    <w:basedOn w:val="40"/>
    <w:link w:val="1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styleId="77">
    <w:name w:val="Placeholder Text"/>
    <w:basedOn w:val="40"/>
    <w:semiHidden/>
    <w:qFormat/>
    <w:uiPriority w:val="99"/>
    <w:rPr>
      <w:color w:val="auto"/>
    </w:rPr>
  </w:style>
  <w:style w:type="character" w:customStyle="1" w:styleId="78">
    <w:name w:val="标题 字符"/>
    <w:basedOn w:val="40"/>
    <w:link w:val="36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7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0">
    <w:name w:val="尾注文本 字符"/>
    <w:basedOn w:val="40"/>
    <w:link w:val="25"/>
    <w:semiHidden/>
    <w:qFormat/>
    <w:uiPriority w:val="99"/>
    <w:rPr>
      <w:rFonts w:ascii="宋体" w:hAnsi="宋体" w:eastAsia="宋体" w:cs="宋体"/>
      <w:kern w:val="0"/>
      <w:szCs w:val="24"/>
    </w:rPr>
  </w:style>
  <w:style w:type="character" w:customStyle="1" w:styleId="81">
    <w:name w:val="批注主题 Char1"/>
    <w:basedOn w:val="52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82">
    <w:name w:val="span_"/>
    <w:basedOn w:val="40"/>
    <w:qFormat/>
    <w:uiPriority w:val="0"/>
  </w:style>
  <w:style w:type="paragraph" w:customStyle="1" w:styleId="83">
    <w:name w:val="标题  3"/>
    <w:basedOn w:val="1"/>
    <w:next w:val="1"/>
    <w:link w:val="84"/>
    <w:qFormat/>
    <w:uiPriority w:val="0"/>
    <w:pPr>
      <w:keepNext/>
      <w:keepLines/>
      <w:spacing w:before="100" w:beforeAutospacing="1" w:after="100" w:afterAutospacing="1" w:line="415" w:lineRule="auto"/>
    </w:pPr>
    <w:rPr>
      <w:rFonts w:ascii="Times New Roman" w:hAnsi="Times New Roman" w:eastAsia="宋体" w:cs="Times New Roman"/>
      <w:b/>
      <w:szCs w:val="24"/>
    </w:rPr>
  </w:style>
  <w:style w:type="character" w:customStyle="1" w:styleId="84">
    <w:name w:val="标题  3 Char"/>
    <w:basedOn w:val="40"/>
    <w:link w:val="83"/>
    <w:qFormat/>
    <w:uiPriority w:val="0"/>
    <w:rPr>
      <w:rFonts w:ascii="Times New Roman" w:hAnsi="Times New Roman" w:eastAsia="宋体" w:cs="Times New Roman"/>
      <w:b/>
      <w:szCs w:val="24"/>
    </w:rPr>
  </w:style>
  <w:style w:type="paragraph" w:customStyle="1" w:styleId="8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86">
    <w:name w:val="报告正文格式1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仿宋" w:cs="Times New Roman"/>
      <w:bCs/>
      <w:sz w:val="24"/>
      <w:szCs w:val="24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8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9">
    <w:name w:val="Table Paragraph"/>
    <w:basedOn w:val="1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 w:val="22"/>
      <w:lang w:eastAsia="en-US"/>
    </w:rPr>
  </w:style>
  <w:style w:type="paragraph" w:customStyle="1" w:styleId="90">
    <w:name w:val="前言标题"/>
    <w:basedOn w:val="3"/>
    <w:link w:val="92"/>
    <w:qFormat/>
    <w:uiPriority w:val="0"/>
    <w:pPr>
      <w:spacing w:before="0" w:after="0" w:line="566" w:lineRule="auto"/>
      <w:jc w:val="left"/>
      <w:outlineLvl w:val="9"/>
    </w:pPr>
    <w:rPr>
      <w:rFonts w:ascii="Times New Roman" w:hAnsi="Times New Roman" w:eastAsia="黑体" w:cs="Times New Roman"/>
      <w:b w:val="0"/>
      <w:sz w:val="21"/>
    </w:rPr>
  </w:style>
  <w:style w:type="paragraph" w:customStyle="1" w:styleId="91">
    <w:name w:val="前言大标题"/>
    <w:basedOn w:val="2"/>
    <w:link w:val="93"/>
    <w:qFormat/>
    <w:uiPriority w:val="0"/>
    <w:pPr>
      <w:spacing w:before="0" w:after="680" w:line="283" w:lineRule="auto"/>
      <w:ind w:firstLine="200" w:firstLineChars="200"/>
      <w:jc w:val="center"/>
      <w:outlineLvl w:val="9"/>
    </w:pPr>
    <w:rPr>
      <w:rFonts w:ascii="Times New Roman" w:hAnsi="Times New Roman" w:eastAsia="黑体" w:cs="Times New Roman"/>
      <w:b w:val="0"/>
      <w:sz w:val="32"/>
    </w:rPr>
  </w:style>
  <w:style w:type="character" w:customStyle="1" w:styleId="92">
    <w:name w:val="前言标题 Char"/>
    <w:basedOn w:val="40"/>
    <w:link w:val="90"/>
    <w:qFormat/>
    <w:uiPriority w:val="0"/>
    <w:rPr>
      <w:rFonts w:eastAsia="黑体"/>
      <w:bCs/>
      <w:kern w:val="2"/>
      <w:sz w:val="21"/>
      <w:szCs w:val="32"/>
    </w:rPr>
  </w:style>
  <w:style w:type="character" w:customStyle="1" w:styleId="93">
    <w:name w:val="前言大标题 Char"/>
    <w:link w:val="91"/>
    <w:qFormat/>
    <w:uiPriority w:val="0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BC0C85B-024C-49A1-89CA-1A1A3B0F4157}">
  <ds:schemaRefs/>
</ds:datastoreItem>
</file>

<file path=customXml/itemProps2.xml><?xml version="1.0" encoding="utf-8"?>
<ds:datastoreItem xmlns:ds="http://schemas.openxmlformats.org/officeDocument/2006/customXml" ds:itemID="{CCCAAF01-8DDC-4711-A4EB-2E9E44DC16E5}">
  <ds:schemaRefs/>
</ds:datastoreItem>
</file>

<file path=customXml/itemProps3.xml><?xml version="1.0" encoding="utf-8"?>
<ds:datastoreItem xmlns:ds="http://schemas.openxmlformats.org/officeDocument/2006/customXml" ds:itemID="{C5D7E463-A10F-494B-AAC3-043C8AA8F3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6552</Words>
  <Characters>6683</Characters>
  <Lines>50</Lines>
  <Paragraphs>14</Paragraphs>
  <TotalTime>3</TotalTime>
  <ScaleCrop>false</ScaleCrop>
  <LinksUpToDate>false</LinksUpToDate>
  <CharactersWithSpaces>6705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2022-10-17T11:40:00Z</dcterms:created>
  <dc:creator>Meng Tang</dc:creator>
  <cp:lastModifiedBy>张彤（碧青）</cp:lastModifiedBy>
  <cp:lastPrinted>2022-09-05T02:17:00Z</cp:lastPrinted>
  <dcterms:modified xsi:type="dcterms:W3CDTF">2022-10-20T05:09:46Z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84B33E4607A44DAB893BC732D9D8E0A5</vt:lpwstr>
  </property>
</Properties>
</file>